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1"/>
        <w:spacing w:before="0" w:beforeAutospacing="0" w:after="0" w:afterAutospacing="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911"/>
        <w:jc w:val="both"/>
        <w:spacing w:before="0" w:beforeAutospacing="0" w:after="0" w:afterAutospacing="0"/>
        <w:rPr>
          <w:rFonts w:hint="eastAsia" w:ascii="方正仿宋_GBK" w:hAnsi="方正仿宋_GBK" w:eastAsia="方正仿宋_GBK" w:cs="方正仿宋_GBK"/>
          <w:color w:val="auto"/>
          <w:sz w:val="28"/>
          <w:szCs w:val="28"/>
          <w:highlight w:val="none"/>
        </w:rPr>
      </w:pPr>
      <w:r/>
      <w:bookmarkStart w:id="0" w:name="EB3ace3d43b98b41779337deb808be6fa3"/>
      <w:r>
        <w:rPr>
          <w:rFonts w:hint="eastAsia" w:ascii="方正仿宋_GBK" w:hAnsi="方正仿宋_GBK" w:eastAsia="方正仿宋_GBK" w:cs="方正仿宋_GBK"/>
          <w:color w:val="auto"/>
          <w:sz w:val="28"/>
          <w:szCs w:val="28"/>
          <w:highlight w:val="none"/>
          <w:shd w:val="clear" w:color="auto" w:fill="ffffff"/>
        </w:rPr>
        <w:t xml:space="preserve"> </w:t>
      </w:r>
      <w:bookmarkEnd w:id="0"/>
      <w:r/>
      <w:bookmarkStart w:id="1" w:name="EB57dd2a69e2b54b0cb3f5c2f03a1ab7bf"/>
      <w:r>
        <w:rPr>
          <w:rFonts w:hint="eastAsia" w:ascii="方正仿宋_GBK" w:hAnsi="方正仿宋_GBK" w:eastAsia="方正仿宋_GBK" w:cs="方正仿宋_GBK"/>
          <w:color w:val="auto"/>
          <w:sz w:val="28"/>
          <w:szCs w:val="28"/>
          <w:highlight w:val="none"/>
          <w:shd w:val="clear" w:color="auto" w:fill="ffffff"/>
        </w:rPr>
        <w:t xml:space="preserve"> </w:t>
      </w:r>
      <w:bookmarkEnd w:id="1"/>
      <w:r/>
      <w:r/>
    </w:p>
    <w:p>
      <w:pPr>
        <w:pStyle w:val="911"/>
        <w:jc w:val="both"/>
        <w:spacing w:before="0" w:beforeAutospacing="0" w:after="0" w:afterAutospacing="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911"/>
        <w:jc w:val="center"/>
        <w:spacing w:before="120" w:beforeAutospacing="0" w:after="120" w:afterAutospacing="0"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b/>
          <w:bCs/>
          <w:color w:val="auto"/>
          <w:sz w:val="52"/>
          <w:szCs w:val="52"/>
          <w:highlight w:val="none"/>
        </w:rPr>
        <w:t xml:space="preserve">招 标 文 件</w:t>
      </w:r>
      <w:r/>
    </w:p>
    <w:p>
      <w:pPr>
        <w:pStyle w:val="911"/>
        <w:jc w:val="both"/>
        <w:spacing w:before="0" w:beforeAutospacing="0" w:after="0" w:afterAutospacing="0" w:line="480" w:lineRule="auto"/>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r>
      <w:r/>
    </w:p>
    <w:p>
      <w:pPr>
        <w:pStyle w:val="911"/>
        <w:jc w:val="both"/>
        <w:spacing w:before="0" w:beforeAutospacing="0" w:after="0" w:afterAutospacing="0" w:line="480" w:lineRule="auto"/>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r>
      <w:r/>
    </w:p>
    <w:p>
      <w:pPr>
        <w:pStyle w:val="911"/>
        <w:jc w:val="center"/>
        <w:spacing w:before="0" w:beforeAutospacing="0" w:after="0" w:afterAutospacing="0" w:line="480" w:lineRule="auto"/>
        <w:rPr>
          <w:rFonts w:hint="eastAsia" w:ascii="方正仿宋_GBK" w:hAnsi="方正仿宋_GBK" w:eastAsia="方正仿宋_GBK" w:cs="方正仿宋_GBK"/>
          <w:color w:val="auto"/>
          <w:sz w:val="30"/>
          <w:szCs w:val="30"/>
          <w:highlight w:val="none"/>
          <w:lang w:eastAsia="zh-CN"/>
        </w:rPr>
        <w:outlineLvl w:val="0"/>
      </w:pPr>
      <w:r/>
      <w:bookmarkStart w:id="2" w:name="_Toc14984"/>
      <w:r/>
      <w:bookmarkStart w:id="3" w:name="_Toc26828"/>
      <w:r/>
      <w:bookmarkStart w:id="4" w:name="_Toc12074"/>
      <w:r/>
      <w:bookmarkStart w:id="5" w:name="_Toc14639"/>
      <w:r>
        <w:rPr>
          <w:rFonts w:hint="eastAsia" w:ascii="方正仿宋_GBK" w:hAnsi="方正仿宋_GBK" w:eastAsia="方正仿宋_GBK" w:cs="方正仿宋_GBK"/>
          <w:b/>
          <w:bCs/>
          <w:color w:val="auto"/>
          <w:sz w:val="28"/>
          <w:szCs w:val="28"/>
          <w:highlight w:val="none"/>
          <w:lang w:val="en-US" w:eastAsia="zh-CN"/>
        </w:rPr>
        <w:t xml:space="preserve"> </w:t>
      </w:r>
      <w:r>
        <w:rPr>
          <w:rFonts w:hint="eastAsia" w:ascii="方正仿宋_GBK" w:hAnsi="方正仿宋_GBK" w:eastAsia="方正仿宋_GBK" w:cs="方正仿宋_GBK"/>
          <w:b/>
          <w:bCs/>
          <w:color w:val="auto"/>
          <w:sz w:val="30"/>
          <w:szCs w:val="30"/>
          <w:highlight w:val="none"/>
        </w:rPr>
        <w:t xml:space="preserve">项目名称：</w:t>
      </w:r>
      <w:bookmarkEnd w:id="2"/>
      <w:r/>
      <w:bookmarkEnd w:id="3"/>
      <w:r/>
      <w:bookmarkEnd w:id="4"/>
      <w:r/>
      <w:bookmarkEnd w:id="5"/>
      <w:r>
        <w:rPr>
          <w:rFonts w:hint="eastAsia" w:ascii="方正仿宋_GBK" w:hAnsi="方正仿宋_GBK" w:eastAsia="方正仿宋_GBK" w:cs="方正仿宋_GBK"/>
          <w:b/>
          <w:bCs/>
          <w:color w:val="auto"/>
          <w:sz w:val="30"/>
          <w:szCs w:val="30"/>
          <w:highlight w:val="none"/>
          <w:lang w:eastAsia="zh-CN"/>
        </w:rPr>
        <w:t xml:space="preserve">泗洪姜堰实验学校初中部功能室、实验室采购项目</w:t>
      </w:r>
      <w:r/>
    </w:p>
    <w:p>
      <w:pPr>
        <w:pStyle w:val="911"/>
        <w:ind w:firstLine="602"/>
        <w:jc w:val="both"/>
        <w:spacing w:before="0" w:beforeAutospacing="0" w:after="0" w:afterAutospacing="0" w:line="480" w:lineRule="auto"/>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b/>
          <w:bCs/>
          <w:color w:val="auto"/>
          <w:sz w:val="30"/>
          <w:szCs w:val="30"/>
          <w:highlight w:val="none"/>
        </w:rPr>
        <w:t xml:space="preserve">项目编号：JSZC-321324-JZCG-G2025-0029</w:t>
      </w:r>
      <w:r/>
    </w:p>
    <w:p>
      <w:pPr>
        <w:pStyle w:val="911"/>
        <w:ind w:firstLine="602"/>
        <w:jc w:val="both"/>
        <w:spacing w:before="0" w:beforeAutospacing="0" w:after="0" w:afterAutospacing="0" w:line="480" w:lineRule="auto"/>
        <w:rPr>
          <w:rFonts w:hint="eastAsia" w:ascii="方正仿宋_GBK" w:hAnsi="方正仿宋_GBK" w:eastAsia="方正仿宋_GBK" w:cs="方正仿宋_GBK"/>
          <w:color w:val="auto"/>
          <w:sz w:val="30"/>
          <w:szCs w:val="30"/>
          <w:highlight w:val="none"/>
        </w:rPr>
        <w:outlineLvl w:val="0"/>
      </w:pPr>
      <w:r/>
      <w:bookmarkStart w:id="6" w:name="_Toc6786"/>
      <w:r/>
      <w:bookmarkStart w:id="7" w:name="_Toc20861"/>
      <w:r/>
      <w:bookmarkStart w:id="8" w:name="_Toc21355"/>
      <w:r/>
      <w:bookmarkStart w:id="9" w:name="_Toc12306"/>
      <w:r>
        <w:rPr>
          <w:rFonts w:hint="eastAsia" w:ascii="方正仿宋_GBK" w:hAnsi="方正仿宋_GBK" w:eastAsia="方正仿宋_GBK" w:cs="方正仿宋_GBK"/>
          <w:b/>
          <w:bCs/>
          <w:color w:val="auto"/>
          <w:sz w:val="30"/>
          <w:szCs w:val="30"/>
          <w:highlight w:val="none"/>
        </w:rPr>
        <w:t xml:space="preserve"> </w:t>
      </w:r>
      <w:r>
        <w:rPr>
          <w:rFonts w:hint="eastAsia" w:ascii="方正仿宋_GBK" w:hAnsi="方正仿宋_GBK" w:eastAsia="方正仿宋_GBK" w:cs="方正仿宋_GBK"/>
          <w:color w:val="auto"/>
          <w:sz w:val="30"/>
          <w:szCs w:val="30"/>
          <w:highlight w:val="none"/>
        </w:rPr>
        <w:t xml:space="preserve">  </w:t>
      </w:r>
      <w:r>
        <w:rPr>
          <w:rFonts w:hint="eastAsia" w:ascii="方正仿宋_GBK" w:hAnsi="方正仿宋_GBK" w:eastAsia="方正仿宋_GBK" w:cs="方正仿宋_GBK"/>
          <w:b/>
          <w:bCs/>
          <w:color w:val="auto"/>
          <w:sz w:val="30"/>
          <w:szCs w:val="30"/>
          <w:highlight w:val="none"/>
        </w:rPr>
        <w:t xml:space="preserve">（</w:t>
      </w:r>
      <w:r>
        <w:rPr>
          <w:rFonts w:hint="eastAsia" w:ascii="方正仿宋_GBK" w:hAnsi="方正仿宋_GBK" w:eastAsia="方正仿宋_GBK" w:cs="方正仿宋_GBK"/>
          <w:b/>
          <w:bCs/>
          <w:color w:val="auto"/>
          <w:sz w:val="30"/>
          <w:szCs w:val="30"/>
          <w:highlight w:val="none"/>
          <w:lang w:val="en-US" w:eastAsia="zh-CN"/>
        </w:rPr>
        <w:t xml:space="preserve">货物</w:t>
      </w:r>
      <w:r>
        <w:rPr>
          <w:rFonts w:hint="eastAsia" w:ascii="方正仿宋_GBK" w:hAnsi="方正仿宋_GBK" w:eastAsia="方正仿宋_GBK" w:cs="方正仿宋_GBK"/>
          <w:b/>
          <w:bCs/>
          <w:color w:val="auto"/>
          <w:sz w:val="30"/>
          <w:szCs w:val="30"/>
          <w:highlight w:val="none"/>
        </w:rPr>
        <w:t xml:space="preserve">类项目，</w:t>
      </w:r>
      <w:r>
        <w:rPr>
          <w:rFonts w:hint="eastAsia" w:ascii="方正仿宋_GBK" w:hAnsi="方正仿宋_GBK" w:eastAsia="方正仿宋_GBK" w:cs="方正仿宋_GBK"/>
          <w:b/>
          <w:bCs/>
          <w:color w:val="auto"/>
          <w:sz w:val="30"/>
          <w:szCs w:val="30"/>
          <w:highlight w:val="none"/>
          <w:u w:val="single"/>
        </w:rPr>
        <w:t xml:space="preserve"> </w:t>
      </w:r>
      <w:r>
        <w:rPr>
          <w:rFonts w:hint="eastAsia" w:ascii="方正仿宋_GBK" w:hAnsi="方正仿宋_GBK" w:eastAsia="方正仿宋_GBK" w:cs="方正仿宋_GBK"/>
          <w:b/>
          <w:bCs/>
          <w:color w:val="auto"/>
          <w:sz w:val="30"/>
          <w:szCs w:val="30"/>
          <w:highlight w:val="none"/>
          <w:u w:val="single"/>
          <w:lang w:val="en-US" w:eastAsia="zh-CN"/>
        </w:rPr>
        <w:t xml:space="preserve">是</w:t>
      </w:r>
      <w:r>
        <w:rPr>
          <w:rFonts w:hint="eastAsia" w:ascii="方正仿宋_GBK" w:hAnsi="方正仿宋_GBK" w:eastAsia="方正仿宋_GBK" w:cs="方正仿宋_GBK"/>
          <w:b/>
          <w:bCs/>
          <w:color w:val="auto"/>
          <w:sz w:val="30"/>
          <w:szCs w:val="30"/>
          <w:highlight w:val="none"/>
          <w:u w:val="single"/>
        </w:rPr>
        <w:t xml:space="preserve"> </w:t>
      </w:r>
      <w:r>
        <w:rPr>
          <w:rFonts w:hint="eastAsia" w:ascii="方正仿宋_GBK" w:hAnsi="方正仿宋_GBK" w:eastAsia="方正仿宋_GBK" w:cs="方正仿宋_GBK"/>
          <w:b/>
          <w:bCs/>
          <w:color w:val="auto"/>
          <w:sz w:val="30"/>
          <w:szCs w:val="30"/>
          <w:highlight w:val="none"/>
        </w:rPr>
        <w:t xml:space="preserve">专门面向中小企业）</w:t>
      </w:r>
      <w:bookmarkEnd w:id="6"/>
      <w:r/>
      <w:bookmarkEnd w:id="7"/>
      <w:r/>
      <w:bookmarkEnd w:id="8"/>
      <w:r/>
      <w:bookmarkEnd w:id="9"/>
      <w:r/>
      <w:r/>
    </w:p>
    <w:p>
      <w:pPr>
        <w:pStyle w:val="911"/>
        <w:spacing w:before="0" w:beforeAutospacing="0" w:after="0" w:afterAutospacing="0"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911"/>
        <w:spacing w:before="0" w:beforeAutospacing="0" w:after="0" w:afterAutospacing="0"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911"/>
        <w:spacing w:before="0" w:beforeAutospacing="0" w:after="0" w:afterAutospacing="0"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911"/>
        <w:spacing w:before="0" w:beforeAutospacing="0" w:after="0" w:afterAutospacing="0"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911"/>
        <w:spacing w:before="0" w:beforeAutospacing="0" w:after="0" w:afterAutospacing="0"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911"/>
        <w:spacing w:before="0" w:beforeAutospacing="0" w:after="0" w:afterAutospacing="0"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911"/>
        <w:spacing w:before="0" w:beforeAutospacing="0" w:after="0" w:afterAutospacing="0"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 </w:t>
      </w:r>
      <w:r/>
    </w:p>
    <w:p>
      <w:pPr>
        <w:pStyle w:val="911"/>
        <w:ind w:firstLine="1506"/>
        <w:jc w:val="both"/>
        <w:spacing w:before="120" w:beforeAutospacing="0" w:after="120" w:afterAutospacing="0" w:line="360" w:lineRule="auto"/>
        <w:rPr>
          <w:rFonts w:hint="eastAsia" w:ascii="方正仿宋_GBK" w:hAnsi="方正仿宋_GBK" w:eastAsia="方正仿宋_GBK" w:cs="方正仿宋_GBK"/>
          <w:color w:val="auto"/>
          <w:sz w:val="30"/>
          <w:szCs w:val="30"/>
          <w:highlight w:val="none"/>
          <w:u w:val="single"/>
          <w:lang w:eastAsia="zh-CN"/>
        </w:rPr>
        <w:outlineLvl w:val="0"/>
      </w:pPr>
      <w:r/>
      <w:bookmarkStart w:id="10" w:name="_Toc5082"/>
      <w:r/>
      <w:bookmarkStart w:id="11" w:name="_Toc12002"/>
      <w:r/>
      <w:bookmarkStart w:id="12" w:name="_Toc29674"/>
      <w:r/>
      <w:bookmarkStart w:id="13" w:name="_Toc29357"/>
      <w:r>
        <w:rPr>
          <w:rFonts w:hint="eastAsia" w:ascii="方正仿宋_GBK" w:hAnsi="方正仿宋_GBK" w:eastAsia="方正仿宋_GBK" w:cs="方正仿宋_GBK"/>
          <w:b/>
          <w:bCs/>
          <w:color w:val="auto"/>
          <w:sz w:val="30"/>
          <w:szCs w:val="30"/>
          <w:highlight w:val="none"/>
        </w:rPr>
        <w:t xml:space="preserve">采 </w:t>
      </w:r>
      <w:r>
        <w:rPr>
          <w:rFonts w:hint="eastAsia" w:ascii="方正仿宋_GBK" w:hAnsi="方正仿宋_GBK" w:eastAsia="方正仿宋_GBK" w:cs="方正仿宋_GBK"/>
          <w:b/>
          <w:bCs/>
          <w:color w:val="auto"/>
          <w:sz w:val="30"/>
          <w:szCs w:val="30"/>
          <w:highlight w:val="none"/>
          <w:lang w:val="en-US" w:eastAsia="zh-CN"/>
        </w:rPr>
        <w:t xml:space="preserve"> </w:t>
      </w:r>
      <w:r>
        <w:rPr>
          <w:rFonts w:hint="eastAsia" w:ascii="方正仿宋_GBK" w:hAnsi="方正仿宋_GBK" w:eastAsia="方正仿宋_GBK" w:cs="方正仿宋_GBK"/>
          <w:b/>
          <w:bCs/>
          <w:color w:val="auto"/>
          <w:sz w:val="30"/>
          <w:szCs w:val="30"/>
          <w:highlight w:val="none"/>
        </w:rPr>
        <w:t xml:space="preserve"> 购 </w:t>
      </w:r>
      <w:r>
        <w:rPr>
          <w:rFonts w:hint="eastAsia" w:ascii="方正仿宋_GBK" w:hAnsi="方正仿宋_GBK" w:eastAsia="方正仿宋_GBK" w:cs="方正仿宋_GBK"/>
          <w:b/>
          <w:bCs/>
          <w:color w:val="auto"/>
          <w:sz w:val="30"/>
          <w:szCs w:val="30"/>
          <w:highlight w:val="none"/>
          <w:lang w:val="en-US" w:eastAsia="zh-CN"/>
        </w:rPr>
        <w:t xml:space="preserve"> </w:t>
      </w:r>
      <w:r>
        <w:rPr>
          <w:rFonts w:hint="eastAsia" w:ascii="方正仿宋_GBK" w:hAnsi="方正仿宋_GBK" w:eastAsia="方正仿宋_GBK" w:cs="方正仿宋_GBK"/>
          <w:b/>
          <w:bCs/>
          <w:color w:val="auto"/>
          <w:sz w:val="30"/>
          <w:szCs w:val="30"/>
          <w:highlight w:val="none"/>
        </w:rPr>
        <w:t xml:space="preserve"> 人：</w:t>
      </w:r>
      <w:bookmarkEnd w:id="10"/>
      <w:r/>
      <w:bookmarkEnd w:id="11"/>
      <w:r/>
      <w:bookmarkEnd w:id="12"/>
      <w:r/>
      <w:bookmarkEnd w:id="13"/>
      <w:r>
        <w:rPr>
          <w:rFonts w:hint="eastAsia" w:ascii="方正仿宋_GBK" w:hAnsi="方正仿宋_GBK" w:eastAsia="方正仿宋_GBK" w:cs="方正仿宋_GBK"/>
          <w:b/>
          <w:bCs/>
          <w:color w:val="auto"/>
          <w:sz w:val="30"/>
          <w:szCs w:val="30"/>
          <w:highlight w:val="none"/>
          <w:u w:val="single"/>
          <w:lang w:eastAsia="zh-CN"/>
        </w:rPr>
        <w:t xml:space="preserve">泗洪姜堰实验学校</w:t>
      </w:r>
      <w:r/>
    </w:p>
    <w:p>
      <w:pPr>
        <w:pStyle w:val="911"/>
        <w:jc w:val="center"/>
        <w:spacing w:before="120" w:beforeAutospacing="0" w:after="120" w:afterAutospacing="0" w:line="360" w:lineRule="auto"/>
        <w:rPr>
          <w:rFonts w:hint="eastAsia" w:ascii="方正仿宋_GBK" w:hAnsi="方正仿宋_GBK" w:eastAsia="方正仿宋_GBK" w:cs="方正仿宋_GBK"/>
          <w:b/>
          <w:bCs/>
          <w:color w:val="auto"/>
          <w:sz w:val="30"/>
          <w:szCs w:val="30"/>
          <w:highlight w:val="none"/>
        </w:rPr>
        <w:outlineLvl w:val="0"/>
      </w:pPr>
      <w:r/>
      <w:bookmarkStart w:id="14" w:name="_Toc15872"/>
      <w:r/>
      <w:bookmarkStart w:id="15" w:name="_Toc1955"/>
      <w:r/>
      <w:bookmarkStart w:id="16" w:name="_Toc10024"/>
      <w:r/>
      <w:bookmarkStart w:id="17" w:name="_Toc15097"/>
      <w:r>
        <w:rPr>
          <w:rFonts w:hint="eastAsia" w:ascii="方正仿宋_GBK" w:hAnsi="方正仿宋_GBK" w:eastAsia="方正仿宋_GBK" w:cs="方正仿宋_GBK"/>
          <w:b/>
          <w:bCs/>
          <w:color w:val="auto"/>
          <w:sz w:val="30"/>
          <w:szCs w:val="30"/>
          <w:highlight w:val="none"/>
        </w:rPr>
        <w:t xml:space="preserve">采购代理机构</w:t>
      </w:r>
      <w:r>
        <w:rPr>
          <w:rFonts w:hint="eastAsia" w:ascii="方正仿宋_GBK" w:hAnsi="方正仿宋_GBK" w:eastAsia="方正仿宋_GBK" w:cs="方正仿宋_GBK"/>
          <w:b/>
          <w:bCs/>
          <w:color w:val="auto"/>
          <w:sz w:val="30"/>
          <w:szCs w:val="30"/>
          <w:highlight w:val="none"/>
          <w:lang w:eastAsia="zh-CN"/>
        </w:rPr>
        <w:t xml:space="preserve">：</w:t>
      </w:r>
      <w:r>
        <w:rPr>
          <w:rFonts w:hint="eastAsia" w:ascii="方正仿宋_GBK" w:hAnsi="方正仿宋_GBK" w:eastAsia="方正仿宋_GBK" w:cs="方正仿宋_GBK"/>
          <w:b/>
          <w:bCs/>
          <w:color w:val="auto"/>
          <w:sz w:val="30"/>
          <w:szCs w:val="30"/>
          <w:highlight w:val="none"/>
          <w:u w:val="single"/>
        </w:rPr>
        <w:t xml:space="preserve">泗洪县公共资源交易中心</w:t>
      </w:r>
      <w:bookmarkEnd w:id="14"/>
      <w:r/>
      <w:bookmarkEnd w:id="15"/>
      <w:r/>
      <w:bookmarkEnd w:id="16"/>
      <w:r/>
      <w:bookmarkEnd w:id="17"/>
      <w:r/>
      <w:r/>
    </w:p>
    <w:p>
      <w:pPr>
        <w:pStyle w:val="911"/>
        <w:ind w:firstLine="2570"/>
        <w:jc w:val="both"/>
        <w:spacing w:before="120" w:beforeAutospacing="0" w:after="120" w:afterAutospacing="0" w:line="360" w:lineRule="auto"/>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b/>
          <w:bCs/>
          <w:color w:val="auto"/>
          <w:sz w:val="30"/>
          <w:szCs w:val="30"/>
          <w:highlight w:val="none"/>
        </w:rPr>
        <w:t xml:space="preserve">202</w:t>
      </w:r>
      <w:r>
        <w:rPr>
          <w:rFonts w:hint="eastAsia" w:ascii="方正仿宋_GBK" w:hAnsi="方正仿宋_GBK" w:eastAsia="方正仿宋_GBK" w:cs="方正仿宋_GBK"/>
          <w:b/>
          <w:bCs/>
          <w:color w:val="auto"/>
          <w:sz w:val="30"/>
          <w:szCs w:val="30"/>
          <w:highlight w:val="none"/>
          <w:lang w:val="en-US" w:eastAsia="zh-CN"/>
        </w:rPr>
        <w:t xml:space="preserve">5</w:t>
      </w:r>
      <w:r>
        <w:rPr>
          <w:rFonts w:hint="eastAsia" w:ascii="方正仿宋_GBK" w:hAnsi="方正仿宋_GBK" w:eastAsia="方正仿宋_GBK" w:cs="方正仿宋_GBK"/>
          <w:b/>
          <w:bCs/>
          <w:color w:val="auto"/>
          <w:sz w:val="30"/>
          <w:szCs w:val="30"/>
          <w:highlight w:val="none"/>
        </w:rPr>
        <w:t xml:space="preserve"> 年</w:t>
      </w:r>
      <w:r>
        <w:rPr>
          <w:rFonts w:hint="eastAsia" w:ascii="方正仿宋_GBK" w:hAnsi="方正仿宋_GBK" w:eastAsia="方正仿宋_GBK" w:cs="方正仿宋_GBK"/>
          <w:b/>
          <w:bCs/>
          <w:color w:val="auto"/>
          <w:sz w:val="30"/>
          <w:szCs w:val="30"/>
          <w:highlight w:val="none"/>
          <w:lang w:val="en-US" w:eastAsia="zh-CN"/>
        </w:rPr>
        <w:t xml:space="preserve">12月17</w:t>
      </w:r>
      <w:r>
        <w:rPr>
          <w:rFonts w:hint="eastAsia" w:ascii="方正仿宋_GBK" w:hAnsi="方正仿宋_GBK" w:eastAsia="方正仿宋_GBK" w:cs="方正仿宋_GBK"/>
          <w:b/>
          <w:bCs/>
          <w:color w:val="auto"/>
          <w:sz w:val="30"/>
          <w:szCs w:val="30"/>
          <w:highlight w:val="none"/>
        </w:rPr>
        <w:t xml:space="preserve">日</w:t>
      </w:r>
      <w:r/>
    </w:p>
    <w:p>
      <w:pPr>
        <w:pStyle w:val="911"/>
        <w:jc w:val="center"/>
        <w:keepLines/>
        <w:keepNext/>
        <w:pageBreakBefore/>
        <w:spacing w:before="0" w:beforeAutospacing="0" w:after="0" w:afterAutospacing="0"/>
        <w:rPr>
          <w:rFonts w:hint="eastAsia" w:ascii="方正仿宋_GBK" w:hAnsi="方正仿宋_GBK" w:eastAsia="方正仿宋_GBK" w:cs="方正仿宋_GBK"/>
          <w:b/>
          <w:bCs/>
          <w:color w:val="auto"/>
          <w:sz w:val="28"/>
          <w:szCs w:val="28"/>
          <w:highlight w:val="none"/>
          <w:shd w:val="clear" w:color="auto" w:fill="ffffff"/>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方正仿宋_GBK" w:hAnsi="方正仿宋_GBK" w:eastAsia="方正仿宋_GBK" w:cs="方正仿宋_GBK"/>
          <w:b/>
          <w:bCs/>
          <w:color w:val="auto"/>
          <w:sz w:val="28"/>
          <w:szCs w:val="28"/>
          <w:highlight w:val="none"/>
          <w:shd w:val="clear" w:color="auto" w:fill="ffffff"/>
        </w:rPr>
      </w:r>
      <w:r/>
    </w:p>
    <w:p>
      <w:pPr>
        <w:pStyle w:val="911"/>
        <w:jc w:val="center"/>
        <w:keepLines/>
        <w:keepNext/>
        <w:pageBreakBefore/>
        <w:spacing w:before="0" w:beforeAutospacing="0" w:after="0" w:afterAutospacing="0"/>
        <w:rPr>
          <w:rFonts w:hint="eastAsia" w:ascii="方正仿宋_GBK" w:hAnsi="方正仿宋_GBK" w:eastAsia="方正仿宋_GBK" w:cs="方正仿宋_GBK"/>
          <w:b/>
          <w:bCs/>
          <w:color w:val="auto"/>
          <w:sz w:val="28"/>
          <w:szCs w:val="28"/>
          <w:highlight w:val="none"/>
          <w:shd w:val="clear" w:color="auto" w:fill="ffffff"/>
        </w:rPr>
      </w:pPr>
      <w:r>
        <w:rPr>
          <w:rFonts w:hint="eastAsia" w:ascii="方正仿宋_GBK" w:hAnsi="方正仿宋_GBK" w:eastAsia="方正仿宋_GBK" w:cs="方正仿宋_GBK"/>
          <w:b/>
          <w:bCs/>
          <w:color w:val="auto"/>
          <w:sz w:val="28"/>
          <w:szCs w:val="28"/>
          <w:highlight w:val="none"/>
          <w:shd w:val="clear" w:color="auto" w:fill="ffffff"/>
        </w:rPr>
        <w:t xml:space="preserve">目 录</w:t>
      </w:r>
      <w:r/>
    </w:p>
    <w:p>
      <w:pPr>
        <w:pStyle w:val="740"/>
        <w:tabs>
          <w:tab w:val="right" w:pos="8306" w:leader="dot"/>
        </w:tabs>
        <w:rPr>
          <w:rFonts w:hint="eastAsia" w:ascii="方正仿宋_GBK" w:hAnsi="方正仿宋_GBK" w:eastAsia="方正仿宋_GBK" w:cs="方正仿宋_GBK"/>
          <w:color w:val="auto"/>
          <w:sz w:val="28"/>
          <w:szCs w:val="28"/>
          <w:highlight w:val="none"/>
        </w:rPr>
      </w:pPr>
      <w:r/>
      <w:bookmarkStart w:id="18" w:name="_Toc81575152"/>
      <w:r/>
      <w:bookmarkStart w:id="19" w:name="_Toc81575189"/>
      <w:r/>
      <w:bookmarkStart w:id="20" w:name="_Toc176774443"/>
      <w:r>
        <w:rPr>
          <w:rFonts w:hint="eastAsia" w:ascii="方正仿宋_GBK" w:hAnsi="方正仿宋_GBK" w:eastAsia="方正仿宋_GBK" w:cs="方正仿宋_GBK"/>
          <w:b/>
          <w:bCs/>
          <w:color w:val="auto"/>
          <w:sz w:val="28"/>
          <w:szCs w:val="28"/>
          <w:highlight w:val="none"/>
          <w:shd w:val="clear" w:color="auto" w:fill="ffffff"/>
        </w:rPr>
        <w:fldChar w:fldCharType="begin"/>
      </w:r>
      <w:r>
        <w:rPr>
          <w:rFonts w:hint="eastAsia" w:ascii="方正仿宋_GBK" w:hAnsi="方正仿宋_GBK" w:eastAsia="方正仿宋_GBK" w:cs="方正仿宋_GBK"/>
          <w:b/>
          <w:bCs/>
          <w:color w:val="auto"/>
          <w:sz w:val="28"/>
          <w:szCs w:val="28"/>
          <w:highlight w:val="none"/>
          <w:shd w:val="clear" w:color="auto" w:fill="ffffff"/>
        </w:rPr>
        <w:instrText xml:space="preserve">TOC \o "1-1" \h \u </w:instrText>
      </w:r>
      <w:r>
        <w:rPr>
          <w:rFonts w:hint="eastAsia" w:ascii="方正仿宋_GBK" w:hAnsi="方正仿宋_GBK" w:eastAsia="方正仿宋_GBK" w:cs="方正仿宋_GBK"/>
          <w:b/>
          <w:bCs/>
          <w:color w:val="auto"/>
          <w:sz w:val="28"/>
          <w:szCs w:val="28"/>
          <w:highlight w:val="none"/>
          <w:shd w:val="clear" w:color="auto" w:fill="ffffff"/>
        </w:rPr>
        <w:fldChar w:fldCharType="separate"/>
      </w:r>
      <w:r/>
    </w:p>
    <w:p>
      <w:pPr>
        <w:pStyle w:val="740"/>
        <w:spacing w:line="360" w:lineRule="auto"/>
        <w:tabs>
          <w:tab w:val="right" w:pos="8306" w:leader="dot"/>
        </w:tabs>
        <w:rPr>
          <w:rFonts w:hint="eastAsia" w:ascii="方正仿宋_GBK" w:hAnsi="方正仿宋_GBK" w:eastAsia="方正仿宋_GBK" w:cs="方正仿宋_GBK"/>
          <w:bCs/>
          <w:color w:val="auto"/>
          <w:sz w:val="28"/>
          <w:szCs w:val="28"/>
          <w:highlight w:val="none"/>
          <w:shd w:val="clear" w:color="auto" w:fill="ffffff"/>
        </w:rPr>
      </w:pPr>
      <w:r>
        <w:rPr>
          <w:rFonts w:hint="eastAsia" w:ascii="方正仿宋_GBK" w:hAnsi="方正仿宋_GBK" w:eastAsia="方正仿宋_GBK" w:cs="方正仿宋_GBK"/>
          <w:bCs/>
          <w:color w:val="auto"/>
          <w:sz w:val="28"/>
          <w:szCs w:val="28"/>
          <w:highlight w:val="none"/>
          <w:shd w:val="clear" w:color="auto" w:fill="ffffff"/>
        </w:rPr>
        <w:fldChar w:fldCharType="begin"/>
      </w:r>
      <w:r>
        <w:rPr>
          <w:rFonts w:hint="eastAsia" w:ascii="方正仿宋_GBK" w:hAnsi="方正仿宋_GBK" w:eastAsia="方正仿宋_GBK" w:cs="方正仿宋_GBK"/>
          <w:bCs/>
          <w:color w:val="auto"/>
          <w:sz w:val="28"/>
          <w:szCs w:val="28"/>
          <w:highlight w:val="none"/>
          <w:shd w:val="clear" w:color="auto" w:fill="ffffff"/>
        </w:rPr>
        <w:instrText xml:space="preserve"> HYPERLINK \l _Toc21993 </w:instrText>
      </w:r>
      <w:r>
        <w:rPr>
          <w:rFonts w:hint="eastAsia" w:ascii="方正仿宋_GBK" w:hAnsi="方正仿宋_GBK" w:eastAsia="方正仿宋_GBK" w:cs="方正仿宋_GBK"/>
          <w:bCs/>
          <w:color w:val="auto"/>
          <w:sz w:val="28"/>
          <w:szCs w:val="28"/>
          <w:highlight w:val="none"/>
          <w:shd w:val="clear" w:color="auto" w:fill="ffffff"/>
        </w:rPr>
        <w:fldChar w:fldCharType="separate"/>
      </w:r>
      <w:r>
        <w:rPr>
          <w:rFonts w:hint="eastAsia" w:ascii="方正仿宋_GBK" w:hAnsi="方正仿宋_GBK" w:eastAsia="方正仿宋_GBK" w:cs="方正仿宋_GBK"/>
          <w:bCs/>
          <w:color w:val="auto"/>
          <w:sz w:val="28"/>
          <w:szCs w:val="28"/>
          <w:highlight w:val="none"/>
          <w:shd w:val="clear" w:color="auto" w:fill="ffffff"/>
        </w:rPr>
        <w:t xml:space="preserve">第</w:t>
      </w:r>
      <w:r>
        <w:rPr>
          <w:rFonts w:hint="eastAsia" w:ascii="方正仿宋_GBK" w:hAnsi="方正仿宋_GBK" w:eastAsia="方正仿宋_GBK" w:cs="方正仿宋_GBK"/>
          <w:bCs/>
          <w:color w:val="auto"/>
          <w:sz w:val="28"/>
          <w:szCs w:val="28"/>
          <w:highlight w:val="none"/>
          <w:shd w:val="clear" w:color="auto" w:fill="ffffff"/>
          <w:lang w:val="en-US" w:eastAsia="zh-CN"/>
        </w:rPr>
        <w:t xml:space="preserve">一</w:t>
      </w:r>
      <w:r>
        <w:rPr>
          <w:rFonts w:hint="eastAsia" w:ascii="方正仿宋_GBK" w:hAnsi="方正仿宋_GBK" w:eastAsia="方正仿宋_GBK" w:cs="方正仿宋_GBK"/>
          <w:bCs/>
          <w:color w:val="auto"/>
          <w:sz w:val="28"/>
          <w:szCs w:val="28"/>
          <w:highlight w:val="none"/>
          <w:shd w:val="clear" w:color="auto" w:fill="ffffff"/>
        </w:rPr>
        <w:t xml:space="preserve">部分  </w:t>
      </w:r>
      <w:r>
        <w:rPr>
          <w:rFonts w:hint="eastAsia" w:ascii="方正仿宋_GBK" w:hAnsi="方正仿宋_GBK" w:eastAsia="方正仿宋_GBK" w:cs="方正仿宋_GBK"/>
          <w:bCs/>
          <w:color w:val="auto"/>
          <w:sz w:val="28"/>
          <w:szCs w:val="28"/>
          <w:highlight w:val="none"/>
          <w:shd w:val="clear" w:color="auto" w:fill="ffffff"/>
          <w:lang w:val="en-US" w:eastAsia="zh-CN"/>
        </w:rPr>
        <w:t xml:space="preserve">投标邀请函</w:t>
      </w:r>
      <w:r>
        <w:rPr>
          <w:rFonts w:hint="eastAsia" w:ascii="方正仿宋_GBK" w:hAnsi="方正仿宋_GBK" w:eastAsia="方正仿宋_GBK" w:cs="方正仿宋_GBK"/>
          <w:color w:val="auto"/>
          <w:sz w:val="28"/>
          <w:szCs w:val="28"/>
          <w:highlight w:val="none"/>
        </w:rPr>
        <w:tab/>
      </w:r>
      <w:r>
        <w:rPr>
          <w:rFonts w:hint="eastAsia" w:ascii="方正仿宋_GBK" w:hAnsi="方正仿宋_GBK" w:eastAsia="方正仿宋_GBK" w:cs="方正仿宋_GBK"/>
          <w:bCs/>
          <w:color w:val="auto"/>
          <w:sz w:val="28"/>
          <w:szCs w:val="28"/>
          <w:highlight w:val="none"/>
          <w:shd w:val="clear" w:color="auto" w:fill="ffffff"/>
        </w:rPr>
        <w:fldChar w:fldCharType="end"/>
      </w:r>
      <w:r/>
    </w:p>
    <w:p>
      <w:pPr>
        <w:pStyle w:val="740"/>
        <w:spacing w:line="360" w:lineRule="auto"/>
        <w:tabs>
          <w:tab w:val="right" w:pos="8306" w:leader="dot"/>
        </w:tabs>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bCs/>
          <w:color w:val="auto"/>
          <w:sz w:val="28"/>
          <w:szCs w:val="28"/>
          <w:highlight w:val="none"/>
          <w:shd w:val="clear" w:color="auto" w:fill="ffffff"/>
        </w:rPr>
        <w:fldChar w:fldCharType="begin"/>
      </w:r>
      <w:r>
        <w:rPr>
          <w:rFonts w:hint="eastAsia" w:ascii="方正仿宋_GBK" w:hAnsi="方正仿宋_GBK" w:eastAsia="方正仿宋_GBK" w:cs="方正仿宋_GBK"/>
          <w:bCs/>
          <w:color w:val="auto"/>
          <w:sz w:val="28"/>
          <w:szCs w:val="28"/>
          <w:highlight w:val="none"/>
          <w:shd w:val="clear" w:color="auto" w:fill="ffffff"/>
        </w:rPr>
        <w:instrText xml:space="preserve"> HYPERLINK \l _Toc21993 </w:instrText>
      </w:r>
      <w:r>
        <w:rPr>
          <w:rFonts w:hint="eastAsia" w:ascii="方正仿宋_GBK" w:hAnsi="方正仿宋_GBK" w:eastAsia="方正仿宋_GBK" w:cs="方正仿宋_GBK"/>
          <w:bCs/>
          <w:color w:val="auto"/>
          <w:sz w:val="28"/>
          <w:szCs w:val="28"/>
          <w:highlight w:val="none"/>
          <w:shd w:val="clear" w:color="auto" w:fill="ffffff"/>
        </w:rPr>
        <w:fldChar w:fldCharType="separate"/>
      </w:r>
      <w:r>
        <w:rPr>
          <w:rFonts w:hint="eastAsia" w:ascii="方正仿宋_GBK" w:hAnsi="方正仿宋_GBK" w:eastAsia="方正仿宋_GBK" w:cs="方正仿宋_GBK"/>
          <w:bCs/>
          <w:color w:val="auto"/>
          <w:sz w:val="28"/>
          <w:szCs w:val="28"/>
          <w:highlight w:val="none"/>
          <w:shd w:val="clear" w:color="auto" w:fill="ffffff"/>
        </w:rPr>
        <w:t xml:space="preserve">第</w:t>
      </w:r>
      <w:r>
        <w:rPr>
          <w:rFonts w:hint="eastAsia" w:ascii="方正仿宋_GBK" w:hAnsi="方正仿宋_GBK" w:eastAsia="方正仿宋_GBK" w:cs="方正仿宋_GBK"/>
          <w:bCs/>
          <w:color w:val="auto"/>
          <w:sz w:val="28"/>
          <w:szCs w:val="28"/>
          <w:highlight w:val="none"/>
          <w:shd w:val="clear" w:color="auto" w:fill="ffffff"/>
          <w:lang w:val="en-US" w:eastAsia="zh-CN"/>
        </w:rPr>
        <w:t xml:space="preserve">二</w:t>
      </w:r>
      <w:r>
        <w:rPr>
          <w:rFonts w:hint="eastAsia" w:ascii="方正仿宋_GBK" w:hAnsi="方正仿宋_GBK" w:eastAsia="方正仿宋_GBK" w:cs="方正仿宋_GBK"/>
          <w:bCs/>
          <w:color w:val="auto"/>
          <w:sz w:val="28"/>
          <w:szCs w:val="28"/>
          <w:highlight w:val="none"/>
          <w:shd w:val="clear" w:color="auto" w:fill="ffffff"/>
        </w:rPr>
        <w:t xml:space="preserve">部分  </w:t>
      </w:r>
      <w:r>
        <w:rPr>
          <w:rFonts w:hint="eastAsia" w:ascii="方正仿宋_GBK" w:hAnsi="方正仿宋_GBK" w:eastAsia="方正仿宋_GBK" w:cs="方正仿宋_GBK"/>
          <w:bCs/>
          <w:color w:val="auto"/>
          <w:sz w:val="28"/>
          <w:szCs w:val="28"/>
          <w:highlight w:val="none"/>
          <w:shd w:val="clear" w:color="auto" w:fill="ffffff"/>
          <w:lang w:val="en-US" w:eastAsia="zh-CN"/>
        </w:rPr>
        <w:t xml:space="preserve">投标人须知</w:t>
      </w:r>
      <w:r>
        <w:rPr>
          <w:rFonts w:hint="eastAsia" w:ascii="方正仿宋_GBK" w:hAnsi="方正仿宋_GBK" w:eastAsia="方正仿宋_GBK" w:cs="方正仿宋_GBK"/>
          <w:color w:val="auto"/>
          <w:sz w:val="28"/>
          <w:szCs w:val="28"/>
          <w:highlight w:val="none"/>
        </w:rPr>
        <w:tab/>
      </w:r>
      <w:r>
        <w:rPr>
          <w:rFonts w:hint="eastAsia" w:ascii="方正仿宋_GBK" w:hAnsi="方正仿宋_GBK" w:eastAsia="方正仿宋_GBK" w:cs="方正仿宋_GBK"/>
          <w:bCs/>
          <w:color w:val="auto"/>
          <w:sz w:val="28"/>
          <w:szCs w:val="28"/>
          <w:highlight w:val="none"/>
          <w:shd w:val="clear" w:color="auto" w:fill="ffffff"/>
        </w:rPr>
        <w:fldChar w:fldCharType="end"/>
      </w:r>
      <w:r/>
    </w:p>
    <w:p>
      <w:pPr>
        <w:pStyle w:val="740"/>
        <w:spacing w:line="360" w:lineRule="auto"/>
        <w:tabs>
          <w:tab w:val="right" w:pos="8306" w:leader="dot"/>
        </w:tabs>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bCs/>
          <w:color w:val="auto"/>
          <w:sz w:val="28"/>
          <w:szCs w:val="28"/>
          <w:highlight w:val="none"/>
          <w:shd w:val="clear" w:color="auto" w:fill="ffffff"/>
        </w:rPr>
        <w:fldChar w:fldCharType="begin"/>
      </w:r>
      <w:r>
        <w:rPr>
          <w:rFonts w:hint="eastAsia" w:ascii="方正仿宋_GBK" w:hAnsi="方正仿宋_GBK" w:eastAsia="方正仿宋_GBK" w:cs="方正仿宋_GBK"/>
          <w:bCs/>
          <w:color w:val="auto"/>
          <w:sz w:val="28"/>
          <w:szCs w:val="28"/>
          <w:highlight w:val="none"/>
          <w:shd w:val="clear" w:color="auto" w:fill="ffffff"/>
        </w:rPr>
        <w:instrText xml:space="preserve"> HYPERLINK \l _Toc6455 </w:instrText>
      </w:r>
      <w:r>
        <w:rPr>
          <w:rFonts w:hint="eastAsia" w:ascii="方正仿宋_GBK" w:hAnsi="方正仿宋_GBK" w:eastAsia="方正仿宋_GBK" w:cs="方正仿宋_GBK"/>
          <w:bCs/>
          <w:color w:val="auto"/>
          <w:sz w:val="28"/>
          <w:szCs w:val="28"/>
          <w:highlight w:val="none"/>
          <w:shd w:val="clear" w:color="auto" w:fill="ffffff"/>
        </w:rPr>
        <w:fldChar w:fldCharType="separate"/>
      </w:r>
      <w:r>
        <w:rPr>
          <w:rFonts w:hint="eastAsia" w:ascii="方正仿宋_GBK" w:hAnsi="方正仿宋_GBK" w:eastAsia="方正仿宋_GBK" w:cs="方正仿宋_GBK"/>
          <w:bCs/>
          <w:color w:val="auto"/>
          <w:sz w:val="28"/>
          <w:szCs w:val="28"/>
          <w:highlight w:val="none"/>
          <w:shd w:val="clear" w:color="auto" w:fill="ffffff"/>
        </w:rPr>
        <w:t xml:space="preserve">第三部分  资格审查及评标办法</w:t>
      </w:r>
      <w:r>
        <w:rPr>
          <w:rFonts w:hint="eastAsia" w:ascii="方正仿宋_GBK" w:hAnsi="方正仿宋_GBK" w:eastAsia="方正仿宋_GBK" w:cs="方正仿宋_GBK"/>
          <w:color w:val="auto"/>
          <w:sz w:val="28"/>
          <w:szCs w:val="28"/>
          <w:highlight w:val="none"/>
        </w:rPr>
        <w:tab/>
      </w:r>
      <w:r>
        <w:rPr>
          <w:rFonts w:hint="eastAsia" w:ascii="方正仿宋_GBK" w:hAnsi="方正仿宋_GBK" w:eastAsia="方正仿宋_GBK" w:cs="方正仿宋_GBK"/>
          <w:bCs/>
          <w:color w:val="auto"/>
          <w:sz w:val="28"/>
          <w:szCs w:val="28"/>
          <w:highlight w:val="none"/>
          <w:shd w:val="clear" w:color="auto" w:fill="ffffff"/>
        </w:rPr>
        <w:fldChar w:fldCharType="end"/>
      </w:r>
      <w:r/>
    </w:p>
    <w:p>
      <w:pPr>
        <w:pStyle w:val="740"/>
        <w:spacing w:line="360" w:lineRule="auto"/>
        <w:tabs>
          <w:tab w:val="right" w:pos="8306" w:leader="dot"/>
        </w:tabs>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bCs/>
          <w:color w:val="auto"/>
          <w:sz w:val="28"/>
          <w:szCs w:val="28"/>
          <w:highlight w:val="none"/>
          <w:shd w:val="clear" w:color="auto" w:fill="ffffff"/>
        </w:rPr>
        <w:fldChar w:fldCharType="begin"/>
      </w:r>
      <w:r>
        <w:rPr>
          <w:rFonts w:hint="eastAsia" w:ascii="方正仿宋_GBK" w:hAnsi="方正仿宋_GBK" w:eastAsia="方正仿宋_GBK" w:cs="方正仿宋_GBK"/>
          <w:bCs/>
          <w:color w:val="auto"/>
          <w:sz w:val="28"/>
          <w:szCs w:val="28"/>
          <w:highlight w:val="none"/>
          <w:shd w:val="clear" w:color="auto" w:fill="ffffff"/>
        </w:rPr>
        <w:instrText xml:space="preserve"> HYPERLINK \l _Toc9629 </w:instrText>
      </w:r>
      <w:r>
        <w:rPr>
          <w:rFonts w:hint="eastAsia" w:ascii="方正仿宋_GBK" w:hAnsi="方正仿宋_GBK" w:eastAsia="方正仿宋_GBK" w:cs="方正仿宋_GBK"/>
          <w:bCs/>
          <w:color w:val="auto"/>
          <w:sz w:val="28"/>
          <w:szCs w:val="28"/>
          <w:highlight w:val="none"/>
          <w:shd w:val="clear" w:color="auto" w:fill="ffffff"/>
        </w:rPr>
        <w:fldChar w:fldCharType="separate"/>
      </w:r>
      <w:r>
        <w:rPr>
          <w:rFonts w:hint="eastAsia" w:ascii="方正仿宋_GBK" w:hAnsi="方正仿宋_GBK" w:eastAsia="方正仿宋_GBK" w:cs="方正仿宋_GBK"/>
          <w:bCs/>
          <w:color w:val="auto"/>
          <w:sz w:val="28"/>
          <w:szCs w:val="28"/>
          <w:highlight w:val="none"/>
          <w:shd w:val="clear" w:color="auto" w:fill="ffffff"/>
        </w:rPr>
        <w:t xml:space="preserve">第四部分  采购需求</w:t>
      </w:r>
      <w:r>
        <w:rPr>
          <w:rFonts w:hint="eastAsia" w:ascii="方正仿宋_GBK" w:hAnsi="方正仿宋_GBK" w:eastAsia="方正仿宋_GBK" w:cs="方正仿宋_GBK"/>
          <w:color w:val="auto"/>
          <w:sz w:val="28"/>
          <w:szCs w:val="28"/>
          <w:highlight w:val="none"/>
        </w:rPr>
        <w:tab/>
      </w:r>
      <w:r>
        <w:rPr>
          <w:rFonts w:hint="eastAsia" w:ascii="方正仿宋_GBK" w:hAnsi="方正仿宋_GBK" w:eastAsia="方正仿宋_GBK" w:cs="方正仿宋_GBK"/>
          <w:bCs/>
          <w:color w:val="auto"/>
          <w:sz w:val="28"/>
          <w:szCs w:val="28"/>
          <w:highlight w:val="none"/>
          <w:shd w:val="clear" w:color="auto" w:fill="ffffff"/>
        </w:rPr>
        <w:fldChar w:fldCharType="end"/>
      </w:r>
      <w:r/>
    </w:p>
    <w:p>
      <w:pPr>
        <w:pStyle w:val="740"/>
        <w:spacing w:line="360" w:lineRule="auto"/>
        <w:tabs>
          <w:tab w:val="right" w:pos="8306" w:leader="dot"/>
        </w:tabs>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bCs/>
          <w:color w:val="auto"/>
          <w:sz w:val="28"/>
          <w:szCs w:val="28"/>
          <w:highlight w:val="none"/>
          <w:shd w:val="clear" w:color="auto" w:fill="ffffff"/>
        </w:rPr>
        <w:fldChar w:fldCharType="begin"/>
      </w:r>
      <w:r>
        <w:rPr>
          <w:rFonts w:hint="eastAsia" w:ascii="方正仿宋_GBK" w:hAnsi="方正仿宋_GBK" w:eastAsia="方正仿宋_GBK" w:cs="方正仿宋_GBK"/>
          <w:bCs/>
          <w:color w:val="auto"/>
          <w:sz w:val="28"/>
          <w:szCs w:val="28"/>
          <w:highlight w:val="none"/>
          <w:shd w:val="clear" w:color="auto" w:fill="ffffff"/>
        </w:rPr>
        <w:instrText xml:space="preserve"> HYPERLINK \l _Toc7021 </w:instrText>
      </w:r>
      <w:r>
        <w:rPr>
          <w:rFonts w:hint="eastAsia" w:ascii="方正仿宋_GBK" w:hAnsi="方正仿宋_GBK" w:eastAsia="方正仿宋_GBK" w:cs="方正仿宋_GBK"/>
          <w:bCs/>
          <w:color w:val="auto"/>
          <w:sz w:val="28"/>
          <w:szCs w:val="28"/>
          <w:highlight w:val="none"/>
          <w:shd w:val="clear" w:color="auto" w:fill="ffffff"/>
        </w:rPr>
        <w:fldChar w:fldCharType="separate"/>
      </w:r>
      <w:r>
        <w:rPr>
          <w:rFonts w:hint="eastAsia" w:ascii="方正仿宋_GBK" w:hAnsi="方正仿宋_GBK" w:eastAsia="方正仿宋_GBK" w:cs="方正仿宋_GBK"/>
          <w:bCs/>
          <w:color w:val="auto"/>
          <w:sz w:val="28"/>
          <w:szCs w:val="28"/>
          <w:highlight w:val="none"/>
          <w:shd w:val="clear" w:color="auto" w:fill="ffffff"/>
        </w:rPr>
        <w:t xml:space="preserve">第五部分  合同格式及条款</w:t>
      </w:r>
      <w:r>
        <w:rPr>
          <w:rFonts w:hint="eastAsia" w:ascii="方正仿宋_GBK" w:hAnsi="方正仿宋_GBK" w:eastAsia="方正仿宋_GBK" w:cs="方正仿宋_GBK"/>
          <w:color w:val="auto"/>
          <w:sz w:val="28"/>
          <w:szCs w:val="28"/>
          <w:highlight w:val="none"/>
        </w:rPr>
        <w:tab/>
      </w:r>
      <w:r>
        <w:rPr>
          <w:rFonts w:hint="eastAsia" w:ascii="方正仿宋_GBK" w:hAnsi="方正仿宋_GBK" w:eastAsia="方正仿宋_GBK" w:cs="方正仿宋_GBK"/>
          <w:bCs/>
          <w:color w:val="auto"/>
          <w:sz w:val="28"/>
          <w:szCs w:val="28"/>
          <w:highlight w:val="none"/>
          <w:shd w:val="clear" w:color="auto" w:fill="ffffff"/>
        </w:rPr>
        <w:fldChar w:fldCharType="end"/>
      </w:r>
      <w:r/>
    </w:p>
    <w:p>
      <w:pPr>
        <w:pStyle w:val="740"/>
        <w:spacing w:line="360" w:lineRule="auto"/>
        <w:tabs>
          <w:tab w:val="right" w:pos="8306" w:leader="dot"/>
        </w:tabs>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bCs/>
          <w:color w:val="auto"/>
          <w:sz w:val="28"/>
          <w:szCs w:val="28"/>
          <w:highlight w:val="none"/>
          <w:shd w:val="clear" w:color="auto" w:fill="ffffff"/>
        </w:rPr>
        <w:fldChar w:fldCharType="begin"/>
      </w:r>
      <w:r>
        <w:rPr>
          <w:rFonts w:hint="eastAsia" w:ascii="方正仿宋_GBK" w:hAnsi="方正仿宋_GBK" w:eastAsia="方正仿宋_GBK" w:cs="方正仿宋_GBK"/>
          <w:bCs/>
          <w:color w:val="auto"/>
          <w:sz w:val="28"/>
          <w:szCs w:val="28"/>
          <w:highlight w:val="none"/>
          <w:shd w:val="clear" w:color="auto" w:fill="ffffff"/>
        </w:rPr>
        <w:instrText xml:space="preserve"> HYPERLINK \l _Toc20257 </w:instrText>
      </w:r>
      <w:r>
        <w:rPr>
          <w:rFonts w:hint="eastAsia" w:ascii="方正仿宋_GBK" w:hAnsi="方正仿宋_GBK" w:eastAsia="方正仿宋_GBK" w:cs="方正仿宋_GBK"/>
          <w:bCs/>
          <w:color w:val="auto"/>
          <w:sz w:val="28"/>
          <w:szCs w:val="28"/>
          <w:highlight w:val="none"/>
          <w:shd w:val="clear" w:color="auto" w:fill="ffffff"/>
        </w:rPr>
        <w:fldChar w:fldCharType="separate"/>
      </w:r>
      <w:r>
        <w:rPr>
          <w:rFonts w:hint="eastAsia" w:ascii="方正仿宋_GBK" w:hAnsi="方正仿宋_GBK" w:eastAsia="方正仿宋_GBK" w:cs="方正仿宋_GBK"/>
          <w:bCs/>
          <w:color w:val="auto"/>
          <w:sz w:val="28"/>
          <w:szCs w:val="28"/>
          <w:highlight w:val="none"/>
          <w:shd w:val="clear" w:color="auto" w:fill="ffffff"/>
        </w:rPr>
        <w:t xml:space="preserve">第六部分  投标文件格式</w:t>
      </w:r>
      <w:r>
        <w:rPr>
          <w:rFonts w:hint="eastAsia" w:ascii="方正仿宋_GBK" w:hAnsi="方正仿宋_GBK" w:eastAsia="方正仿宋_GBK" w:cs="方正仿宋_GBK"/>
          <w:color w:val="auto"/>
          <w:sz w:val="28"/>
          <w:szCs w:val="28"/>
          <w:highlight w:val="none"/>
        </w:rPr>
        <w:tab/>
      </w:r>
      <w:r>
        <w:rPr>
          <w:rFonts w:hint="eastAsia" w:ascii="方正仿宋_GBK" w:hAnsi="方正仿宋_GBK" w:eastAsia="方正仿宋_GBK" w:cs="方正仿宋_GBK"/>
          <w:bCs/>
          <w:color w:val="auto"/>
          <w:sz w:val="28"/>
          <w:szCs w:val="28"/>
          <w:highlight w:val="none"/>
          <w:shd w:val="clear" w:color="auto" w:fill="ffffff"/>
        </w:rPr>
        <w:fldChar w:fldCharType="end"/>
      </w:r>
      <w:r/>
    </w:p>
    <w:p>
      <w:pPr>
        <w:pStyle w:val="911"/>
        <w:ind w:left="0" w:right="0"/>
        <w:jc w:val="center"/>
        <w:keepLines/>
        <w:keepNext/>
        <w:pageBreakBefore/>
        <w:spacing w:before="0" w:beforeAutospacing="0" w:after="0" w:afterAutospacing="0" w:line="440" w:lineRule="exact"/>
        <w:rPr>
          <w:rFonts w:hint="eastAsia" w:ascii="方正仿宋_GBK" w:hAnsi="方正仿宋_GBK" w:eastAsia="方正仿宋_GBK" w:cs="方正仿宋_GBK"/>
          <w:bCs/>
          <w:color w:val="auto"/>
          <w:sz w:val="28"/>
          <w:szCs w:val="28"/>
          <w:highlight w:val="none"/>
          <w:shd w:val="clear" w:color="auto" w:fill="ffffff"/>
        </w:rPr>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rPr>
          <w:rFonts w:hint="eastAsia" w:ascii="方正仿宋_GBK" w:hAnsi="方正仿宋_GBK" w:eastAsia="方正仿宋_GBK" w:cs="方正仿宋_GBK"/>
          <w:bCs/>
          <w:color w:val="auto"/>
          <w:sz w:val="28"/>
          <w:szCs w:val="28"/>
          <w:highlight w:val="none"/>
          <w:shd w:val="clear" w:color="auto" w:fill="ffffff"/>
        </w:rPr>
      </w:r>
      <w:r/>
    </w:p>
    <w:p>
      <w:pPr>
        <w:pStyle w:val="911"/>
        <w:ind w:left="0" w:right="0"/>
        <w:jc w:val="center"/>
        <w:keepLines/>
        <w:keepNext/>
        <w:pageBreakBefore/>
        <w:spacing w:before="0" w:beforeAutospacing="0" w:after="0" w:afterAutospacing="0" w:line="440" w:lineRule="exact"/>
        <w:rPr>
          <w:rFonts w:hint="eastAsia" w:ascii="方正仿宋_GBK" w:hAnsi="方正仿宋_GBK" w:eastAsia="方正仿宋_GBK" w:cs="方正仿宋_GBK"/>
          <w:b/>
          <w:bCs/>
          <w:color w:val="auto"/>
          <w:sz w:val="30"/>
          <w:szCs w:val="30"/>
          <w:highlight w:val="none"/>
          <w:lang w:val="en-US" w:eastAsia="zh-CN"/>
        </w:rPr>
        <w:outlineLvl w:val="0"/>
      </w:pPr>
      <w:r>
        <w:rPr>
          <w:rFonts w:hint="eastAsia" w:ascii="方正仿宋_GBK" w:hAnsi="方正仿宋_GBK" w:eastAsia="方正仿宋_GBK" w:cs="方正仿宋_GBK"/>
          <w:bCs/>
          <w:color w:val="auto"/>
          <w:sz w:val="28"/>
          <w:szCs w:val="28"/>
          <w:highlight w:val="none"/>
          <w:shd w:val="clear" w:color="auto" w:fill="ffffff"/>
        </w:rPr>
        <w:fldChar w:fldCharType="end"/>
      </w:r>
      <w:bookmarkEnd w:id="18"/>
      <w:r/>
      <w:bookmarkEnd w:id="19"/>
      <w:r/>
      <w:bookmarkEnd w:id="20"/>
      <w:r/>
      <w:bookmarkStart w:id="21" w:name="_Toc21993"/>
      <w:r>
        <w:rPr>
          <w:rFonts w:hint="eastAsia" w:ascii="宋体" w:hAnsi="宋体" w:eastAsia="宋体" w:cs="宋体"/>
          <w:b/>
          <w:bCs/>
          <w:color w:val="auto"/>
          <w:sz w:val="36"/>
          <w:szCs w:val="36"/>
          <w:highlight w:val="none"/>
          <w:lang w:val="en-US" w:eastAsia="zh-CN"/>
        </w:rPr>
        <w:t xml:space="preserve">第一部分  投标邀请函</w:t>
      </w:r>
      <w:bookmarkEnd w:id="21"/>
      <w:r/>
      <w:r/>
    </w:p>
    <w:p>
      <w:pPr>
        <w:pStyle w:val="911"/>
        <w:ind w:left="0" w:right="0" w:firstLine="56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受</w:t>
      </w:r>
      <w:r>
        <w:rPr>
          <w:rFonts w:hint="eastAsia" w:ascii="宋体" w:hAnsi="宋体" w:cs="宋体"/>
          <w:b w:val="0"/>
          <w:bCs w:val="0"/>
          <w:color w:val="auto"/>
          <w:sz w:val="24"/>
          <w:szCs w:val="24"/>
          <w:highlight w:val="none"/>
          <w:u w:val="single"/>
          <w:lang w:eastAsia="zh-CN"/>
        </w:rPr>
        <w:t xml:space="preserve">泗洪姜堰实验学校</w:t>
      </w:r>
      <w:r>
        <w:rPr>
          <w:rFonts w:hint="eastAsia" w:ascii="宋体" w:hAnsi="宋体" w:eastAsia="宋体" w:cs="宋体"/>
          <w:b w:val="0"/>
          <w:bCs w:val="0"/>
          <w:color w:val="auto"/>
          <w:sz w:val="24"/>
          <w:szCs w:val="24"/>
          <w:highlight w:val="none"/>
        </w:rPr>
        <w:t xml:space="preserve">的委托，</w:t>
      </w:r>
      <w:r>
        <w:rPr>
          <w:rFonts w:hint="eastAsia" w:ascii="宋体" w:hAnsi="宋体" w:eastAsia="宋体" w:cs="宋体"/>
          <w:b w:val="0"/>
          <w:bCs w:val="0"/>
          <w:color w:val="auto"/>
          <w:sz w:val="24"/>
          <w:szCs w:val="24"/>
          <w:highlight w:val="none"/>
          <w:u w:val="single"/>
        </w:rPr>
        <w:t xml:space="preserve">泗洪县公共资源交易中心</w:t>
      </w:r>
      <w:r>
        <w:rPr>
          <w:rFonts w:hint="eastAsia" w:ascii="宋体" w:hAnsi="宋体" w:eastAsia="宋体" w:cs="宋体"/>
          <w:b w:val="0"/>
          <w:bCs w:val="0"/>
          <w:color w:val="auto"/>
          <w:sz w:val="24"/>
          <w:szCs w:val="24"/>
          <w:highlight w:val="none"/>
        </w:rPr>
        <w:t xml:space="preserve">就</w:t>
      </w:r>
      <w:r>
        <w:rPr>
          <w:rFonts w:hint="eastAsia" w:ascii="宋体" w:hAnsi="宋体" w:cs="宋体"/>
          <w:b w:val="0"/>
          <w:bCs w:val="0"/>
          <w:color w:val="auto"/>
          <w:sz w:val="24"/>
          <w:szCs w:val="24"/>
          <w:highlight w:val="none"/>
          <w:u w:val="single"/>
          <w:lang w:eastAsia="zh-CN"/>
        </w:rPr>
        <w:t xml:space="preserve">泗洪姜堰实验学校初中部功能室、实验室采购项目</w:t>
      </w:r>
      <w:r>
        <w:rPr>
          <w:rFonts w:hint="eastAsia" w:ascii="宋体" w:hAnsi="宋体" w:eastAsia="宋体" w:cs="宋体"/>
          <w:b w:val="0"/>
          <w:bCs w:val="0"/>
          <w:color w:val="auto"/>
          <w:sz w:val="24"/>
          <w:szCs w:val="24"/>
          <w:highlight w:val="none"/>
          <w:u w:val="single"/>
        </w:rPr>
        <w:t xml:space="preserve">（</w:t>
      </w:r>
      <w:r>
        <w:rPr>
          <w:rFonts w:hint="eastAsia" w:ascii="宋体" w:hAnsi="宋体" w:cs="宋体"/>
          <w:b w:val="0"/>
          <w:bCs w:val="0"/>
          <w:color w:val="auto"/>
          <w:sz w:val="24"/>
          <w:szCs w:val="24"/>
          <w:highlight w:val="none"/>
          <w:u w:val="single"/>
          <w:lang w:val="en-US" w:eastAsia="zh-CN"/>
        </w:rPr>
        <w:t xml:space="preserve">JSZC-321324-JZCG-G2025-0029</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rPr>
        <w:t xml:space="preserve">公</w:t>
      </w:r>
      <w:r>
        <w:rPr>
          <w:rFonts w:hint="eastAsia" w:ascii="宋体" w:hAnsi="宋体" w:eastAsia="宋体" w:cs="宋体"/>
          <w:color w:val="auto"/>
          <w:sz w:val="24"/>
          <w:szCs w:val="24"/>
          <w:highlight w:val="none"/>
        </w:rPr>
        <w:t xml:space="preserve">开招标采购，欢迎符合条件的投标人投标。</w:t>
      </w:r>
      <w:r/>
    </w:p>
    <w:p>
      <w:pPr>
        <w:pStyle w:val="91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911"/>
        <w:ind w:left="0" w:right="0" w:firstLine="482"/>
        <w:jc w:val="both"/>
        <w:spacing w:before="0" w:beforeAutospacing="0" w:after="0" w:afterAutospacing="0" w:line="44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b w:val="0"/>
          <w:bCs w:val="0"/>
          <w:color w:val="auto"/>
          <w:sz w:val="24"/>
          <w:szCs w:val="24"/>
          <w:highlight w:val="none"/>
          <w:u w:val="single"/>
          <w:lang w:eastAsia="zh-CN"/>
        </w:rPr>
        <w:t xml:space="preserve">泗洪姜堰实验学校初中部功能室、实验室采购项目</w:t>
      </w:r>
      <w:r>
        <w:rPr>
          <w:rFonts w:hint="eastAsia" w:ascii="宋体" w:hAnsi="宋体" w:cs="宋体"/>
          <w:b w:val="0"/>
          <w:bCs w:val="0"/>
          <w:color w:val="auto"/>
          <w:sz w:val="24"/>
          <w:szCs w:val="24"/>
          <w:highlight w:val="none"/>
          <w:u w:val="single"/>
          <w:lang w:val="en-US" w:eastAsia="zh-CN"/>
        </w:rPr>
        <w:t xml:space="preserve">JSZC-321324-JZCG-G2025-0029</w:t>
      </w:r>
      <w:r>
        <w:rPr>
          <w:rFonts w:hint="eastAsia" w:ascii="宋体" w:hAnsi="宋体" w:eastAsia="宋体" w:cs="宋体"/>
          <w:color w:val="auto"/>
          <w:sz w:val="24"/>
          <w:szCs w:val="24"/>
          <w:highlight w:val="none"/>
        </w:rPr>
        <w:t xml:space="preserve">招标项目的潜在投标人应在招标文件提供的时间内，通过“苏采云”系统（网址：http://jszfcg.jsczt.cn/）或宿迁市政府采购网点击“政府采购管理交易系统（苏采云）”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使用CA锁进入系统从“项目参与”--“采购项目”菜单中，找到本项目获取招标文件，并于202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01</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09   </w:t>
      </w:r>
      <w:r>
        <w:rPr>
          <w:rFonts w:hint="eastAsia" w:ascii="宋体" w:hAnsi="宋体" w:eastAsia="宋体" w:cs="宋体"/>
          <w:color w:val="auto"/>
          <w:sz w:val="24"/>
          <w:szCs w:val="24"/>
          <w:highlight w:val="none"/>
        </w:rPr>
        <w:t xml:space="preserve">09:30 （北京时间）前递交投标文件。</w:t>
      </w:r>
      <w:r/>
    </w:p>
    <w:p>
      <w:pPr>
        <w:pStyle w:val="902"/>
        <w:ind w:left="0" w:right="0" w:firstLine="467"/>
        <w:jc w:val="both"/>
        <w:keepLines/>
        <w:keepNext/>
        <w:spacing w:before="0" w:beforeAutospacing="0" w:after="0" w:afterAutospacing="0" w:line="440" w:lineRule="exact"/>
        <w:rPr>
          <w:rFonts w:hint="eastAsia" w:ascii="宋体" w:hAnsi="宋体" w:eastAsia="宋体" w:cs="宋体"/>
          <w:color w:val="auto"/>
          <w:sz w:val="24"/>
          <w:szCs w:val="24"/>
          <w:highlight w:val="none"/>
        </w:rPr>
      </w:pPr>
      <w:r/>
      <w:bookmarkStart w:id="22" w:name="_Hlk24379207"/>
      <w:r/>
      <w:bookmarkStart w:id="23" w:name="_Toc35393621"/>
      <w:r/>
      <w:bookmarkStart w:id="24" w:name="_Toc28359079"/>
      <w:r/>
      <w:bookmarkStart w:id="25" w:name="_Toc35393790"/>
      <w:r/>
      <w:bookmarkStart w:id="26" w:name="_Toc28359002"/>
      <w:r/>
      <w:bookmarkStart w:id="27" w:name="_Toc38985263"/>
      <w:r/>
      <w:bookmarkStart w:id="28" w:name="_Toc176774444"/>
      <w:r>
        <w:rPr>
          <w:rFonts w:hint="eastAsia" w:ascii="宋体" w:hAnsi="宋体" w:eastAsia="宋体" w:cs="宋体"/>
          <w:color w:val="auto"/>
          <w:sz w:val="24"/>
          <w:szCs w:val="24"/>
          <w:highlight w:val="none"/>
        </w:rPr>
        <w:t xml:space="preserve">一、项目基本情况</w:t>
      </w:r>
      <w:bookmarkEnd w:id="22"/>
      <w:r/>
      <w:bookmarkEnd w:id="23"/>
      <w:r/>
      <w:bookmarkEnd w:id="24"/>
      <w:r/>
      <w:bookmarkEnd w:id="25"/>
      <w:r/>
      <w:bookmarkEnd w:id="26"/>
      <w:r/>
      <w:bookmarkEnd w:id="27"/>
      <w:r/>
      <w:bookmarkEnd w:id="28"/>
      <w:r/>
      <w:r/>
    </w:p>
    <w:p>
      <w:pPr>
        <w:pStyle w:val="91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1.项目编号：JSZC-321324-JZCG-G2025-0029</w:t>
      </w:r>
      <w:r/>
    </w:p>
    <w:p>
      <w:pPr>
        <w:pStyle w:val="911"/>
        <w:ind w:left="0" w:right="0" w:firstLine="480"/>
        <w:jc w:val="both"/>
        <w:spacing w:before="0" w:beforeAutospacing="0" w:after="0"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泗洪姜堰实验学校初中部功能室、实验室采购项目</w:t>
      </w:r>
      <w:r/>
    </w:p>
    <w:p>
      <w:pPr>
        <w:pStyle w:val="911"/>
        <w:ind w:left="0" w:right="0" w:firstLine="480"/>
        <w:jc w:val="both"/>
        <w:spacing w:before="0" w:beforeAutospacing="0" w:after="0" w:afterAutospacing="0" w:line="440" w:lineRule="exact"/>
        <w:rPr>
          <w:rFonts w:hint="eastAsia" w:ascii="宋体" w:hAnsi="宋体" w:eastAsia="宋体" w:cs="宋体"/>
          <w:strike w:val="0"/>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cs="宋体"/>
          <w:strike w:val="0"/>
          <w:color w:val="auto"/>
          <w:sz w:val="24"/>
          <w:szCs w:val="24"/>
          <w:highlight w:val="none"/>
          <w:lang w:val="en-US" w:eastAsia="zh-CN"/>
        </w:rPr>
        <w:t xml:space="preserve">8056646.4元</w:t>
      </w:r>
      <w:r>
        <w:rPr>
          <w:rFonts w:hint="eastAsia" w:ascii="宋体" w:hAnsi="宋体" w:cs="宋体"/>
          <w:strike w:val="0"/>
          <w:color w:val="auto"/>
          <w:sz w:val="24"/>
          <w:szCs w:val="24"/>
          <w:highlight w:val="none"/>
          <w:lang w:eastAsia="zh-CN"/>
        </w:rPr>
        <w:t xml:space="preserve">（</w:t>
      </w:r>
      <w:r>
        <w:rPr>
          <w:rFonts w:hint="eastAsia" w:ascii="宋体" w:hAnsi="宋体" w:cs="宋体"/>
          <w:strike w:val="0"/>
          <w:color w:val="auto"/>
          <w:sz w:val="24"/>
          <w:szCs w:val="24"/>
          <w:highlight w:val="none"/>
          <w:lang w:val="en-US" w:eastAsia="zh-CN"/>
        </w:rPr>
        <w:t xml:space="preserve">采购包1为4748474.4元；采购包2为3308172.0元</w:t>
      </w:r>
      <w:r>
        <w:rPr>
          <w:rFonts w:hint="eastAsia" w:ascii="宋体" w:hAnsi="宋体" w:cs="宋体"/>
          <w:strike w:val="0"/>
          <w:color w:val="auto"/>
          <w:sz w:val="24"/>
          <w:szCs w:val="24"/>
          <w:highlight w:val="none"/>
          <w:lang w:eastAsia="zh-CN"/>
        </w:rPr>
        <w:t xml:space="preserve">）</w:t>
      </w:r>
      <w:r/>
    </w:p>
    <w:p>
      <w:pPr>
        <w:pStyle w:val="91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none"/>
        </w:rPr>
        <w:t xml:space="preserve">设定</w:t>
      </w:r>
      <w:r>
        <w:rPr>
          <w:rFonts w:hint="eastAsia" w:ascii="宋体" w:hAnsi="宋体" w:eastAsia="宋体" w:cs="宋体"/>
          <w:color w:val="auto"/>
          <w:sz w:val="24"/>
          <w:szCs w:val="24"/>
          <w:highlight w:val="none"/>
        </w:rPr>
        <w:t xml:space="preserve">最高限价8056646.4</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r>
      <w:r>
        <w:rPr>
          <w:rFonts w:hint="eastAsia" w:ascii="宋体" w:hAnsi="宋体" w:cs="宋体"/>
          <w:strike w:val="0"/>
          <w:color w:val="auto"/>
          <w:sz w:val="24"/>
          <w:szCs w:val="24"/>
          <w:highlight w:val="none"/>
          <w:lang w:val="en-US" w:eastAsia="zh-CN"/>
        </w:rPr>
        <w:t xml:space="preserve">采购包1</w:t>
      </w:r>
      <w:r>
        <w:rPr>
          <w:rFonts w:hint="eastAsia" w:ascii="宋体" w:hAnsi="宋体" w:eastAsia="宋体" w:cs="宋体"/>
          <w:strike w:val="0"/>
          <w:color w:val="auto"/>
          <w:sz w:val="24"/>
          <w:szCs w:val="24"/>
          <w:highlight w:val="none"/>
        </w:rPr>
        <w:t xml:space="preserve">最高限价为</w:t>
      </w:r>
      <w:r>
        <w:rPr>
          <w:rFonts w:hint="eastAsia" w:ascii="宋体" w:hAnsi="宋体" w:cs="宋体"/>
          <w:strike w:val="0"/>
          <w:color w:val="auto"/>
          <w:sz w:val="24"/>
          <w:szCs w:val="24"/>
          <w:highlight w:val="none"/>
          <w:lang w:val="en-US" w:eastAsia="zh-CN"/>
        </w:rPr>
        <w:t xml:space="preserve">4748474.4元</w:t>
      </w:r>
      <w:r>
        <w:rPr>
          <w:rFonts w:hint="eastAsia" w:ascii="宋体" w:hAnsi="宋体" w:cs="宋体"/>
          <w:strike w:val="0"/>
          <w:color w:val="auto"/>
          <w:sz w:val="24"/>
          <w:szCs w:val="24"/>
          <w:highlight w:val="none"/>
          <w:u w:val="none"/>
          <w:lang w:eastAsia="zh-CN"/>
        </w:rPr>
        <w:t xml:space="preserve">；</w:t>
      </w:r>
      <w:r>
        <w:rPr>
          <w:rFonts w:hint="eastAsia" w:ascii="宋体" w:hAnsi="宋体" w:cs="宋体"/>
          <w:strike w:val="0"/>
          <w:color w:val="auto"/>
          <w:sz w:val="24"/>
          <w:szCs w:val="24"/>
          <w:highlight w:val="none"/>
          <w:u w:val="none"/>
          <w:lang w:val="en-US" w:eastAsia="zh-CN"/>
        </w:rPr>
        <w:t xml:space="preserve">采购包2最高限价为</w:t>
      </w:r>
      <w:r>
        <w:rPr>
          <w:rFonts w:hint="eastAsia" w:ascii="宋体" w:hAnsi="宋体" w:cs="宋体"/>
          <w:strike w:val="0"/>
          <w:color w:val="auto"/>
          <w:sz w:val="24"/>
          <w:szCs w:val="24"/>
          <w:highlight w:val="none"/>
          <w:lang w:val="en-US" w:eastAsia="zh-CN"/>
        </w:rPr>
        <w:t xml:space="preserve">3308172.0元</w:t>
      </w:r>
      <w:r>
        <w:rPr>
          <w:rFonts w:hint="eastAsia" w:ascii="宋体" w:hAnsi="宋体" w:cs="宋体"/>
          <w:color w:val="auto"/>
          <w:sz w:val="24"/>
          <w:szCs w:val="24"/>
          <w:highlight w:val="none"/>
          <w:u w:val="none"/>
          <w:lang w:val="en-US" w:eastAsia="zh-CN"/>
        </w:rPr>
        <w:t xml:space="preserve">；高于最高限价的，按无效投标处理。</w:t>
      </w:r>
      <w:r>
        <w:rPr>
          <w:rFonts w:hint="eastAsia" w:ascii="宋体" w:hAnsi="宋体" w:eastAsia="宋体" w:cs="宋体"/>
          <w:color w:val="auto"/>
          <w:sz w:val="24"/>
          <w:szCs w:val="24"/>
          <w:highlight w:val="none"/>
        </w:rPr>
        <w:t xml:space="preserve"> </w:t>
      </w:r>
      <w:r/>
    </w:p>
    <w:p>
      <w:pPr>
        <w:pStyle w:val="91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w:t>
      </w:r>
      <w:r/>
    </w:p>
    <w:p>
      <w:pPr>
        <w:pStyle w:val="911"/>
        <w:ind w:left="0" w:right="0" w:firstLine="480"/>
        <w:jc w:val="both"/>
        <w:spacing w:before="0" w:beforeAutospacing="0" w:after="0" w:afterAutospacing="0"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采购包1：理化生智能吊装实验室、数字化探究实验室、考评实验室等，详见采购需求和采购包1清单。</w:t>
      </w:r>
      <w:r/>
    </w:p>
    <w:p>
      <w:pPr>
        <w:pStyle w:val="911"/>
        <w:ind w:left="0" w:right="0" w:firstLine="480"/>
        <w:jc w:val="both"/>
        <w:spacing w:before="0" w:beforeAutospacing="0" w:after="0" w:afterAutospacing="0"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采购包2：历史地理教室、劳技教室、舞蹈教室、书法教室、美术教室等，详见采购需求和采购包2清单。</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按分包一至分包二的顺序开标、评标、定标，每个投标人可以参与全部分包的投标，但只能中一个分包。被推荐为第一中标候选人的，可以参与其他分包的评标，但不参与</w:t>
      </w:r>
      <w:r>
        <w:rPr>
          <w:rFonts w:hint="eastAsia" w:ascii="Times New Roman" w:hAnsi="Times New Roman" w:cs="仿宋"/>
          <w:color w:val="auto"/>
          <w:sz w:val="24"/>
          <w:szCs w:val="24"/>
          <w:highlight w:val="none"/>
          <w:lang w:eastAsia="zh-CN"/>
        </w:rPr>
        <w:t xml:space="preserve">其他</w:t>
      </w:r>
      <w:r>
        <w:rPr>
          <w:rFonts w:hint="eastAsia" w:ascii="Times New Roman" w:hAnsi="Times New Roman" w:cs="仿宋"/>
          <w:color w:val="auto"/>
          <w:sz w:val="24"/>
          <w:szCs w:val="24"/>
          <w:highlight w:val="none"/>
        </w:rPr>
        <w:t xml:space="preserve">分包中标候选人的推荐。</w:t>
      </w:r>
      <w:r/>
    </w:p>
    <w:p>
      <w:pPr>
        <w:ind w:firstLine="480"/>
        <w:spacing w:line="480" w:lineRule="exact"/>
        <w:rPr>
          <w:rFonts w:hint="eastAsia" w:ascii="宋体" w:hAnsi="宋体" w:eastAsia="宋体" w:cs="宋体"/>
          <w:color w:val="auto"/>
          <w:sz w:val="24"/>
          <w:szCs w:val="24"/>
          <w:highlight w:val="none"/>
        </w:rPr>
      </w:pPr>
      <w:r>
        <w:rPr>
          <w:rFonts w:hint="eastAsia" w:ascii="Times New Roman" w:hAnsi="Times New Roman" w:cs="仿宋"/>
          <w:color w:val="auto"/>
          <w:sz w:val="24"/>
          <w:szCs w:val="24"/>
          <w:highlight w:val="none"/>
        </w:rPr>
        <w:t xml:space="preserve">评审结束后，若其中一个分包受到质疑投诉等原因，导致本分包评审结果改变，但不影响其他分包的评审结果。</w:t>
      </w:r>
      <w:r/>
    </w:p>
    <w:p>
      <w:pPr>
        <w:pStyle w:val="91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6.合同履行期限：采购合同签</w:t>
      </w:r>
      <w:r>
        <w:rPr>
          <w:rFonts w:hint="eastAsia" w:ascii="宋体" w:hAnsi="宋体" w:eastAsia="宋体" w:cs="宋体"/>
          <w:b w:val="0"/>
          <w:bCs w:val="0"/>
          <w:color w:val="auto"/>
          <w:sz w:val="24"/>
          <w:szCs w:val="24"/>
          <w:highlight w:val="none"/>
        </w:rPr>
        <w:t xml:space="preserve">订后</w:t>
      </w:r>
      <w:r>
        <w:rPr>
          <w:rFonts w:hint="eastAsia" w:ascii="宋体" w:hAnsi="宋体" w:cs="宋体"/>
          <w:b w:val="0"/>
          <w:bCs w:val="0"/>
          <w:color w:val="auto"/>
          <w:sz w:val="24"/>
          <w:szCs w:val="24"/>
          <w:highlight w:val="none"/>
          <w:lang w:val="en-US" w:eastAsia="zh-CN"/>
        </w:rPr>
        <w:t xml:space="preserve">30</w:t>
      </w:r>
      <w:r>
        <w:rPr>
          <w:rFonts w:hint="eastAsia" w:ascii="宋体" w:hAnsi="宋体" w:eastAsia="宋体" w:cs="宋体"/>
          <w:b w:val="0"/>
          <w:bCs w:val="0"/>
          <w:color w:val="auto"/>
          <w:sz w:val="24"/>
          <w:szCs w:val="24"/>
          <w:highlight w:val="none"/>
        </w:rPr>
        <w:t xml:space="preserve">日历天内全部供</w:t>
      </w:r>
      <w:r>
        <w:rPr>
          <w:rFonts w:hint="eastAsia" w:ascii="宋体" w:hAnsi="宋体" w:eastAsia="宋体" w:cs="宋体"/>
          <w:color w:val="auto"/>
          <w:sz w:val="24"/>
          <w:szCs w:val="24"/>
          <w:highlight w:val="none"/>
        </w:rPr>
        <w:t xml:space="preserve">货安装完毕并交付使用。</w:t>
      </w:r>
      <w:r/>
    </w:p>
    <w:p>
      <w:pPr>
        <w:pStyle w:val="91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联合体投标。</w:t>
      </w:r>
      <w:r/>
    </w:p>
    <w:p>
      <w:pPr>
        <w:pStyle w:val="902"/>
        <w:ind w:left="0" w:right="0" w:firstLine="467"/>
        <w:jc w:val="both"/>
        <w:keepLines/>
        <w:keepNext/>
        <w:spacing w:before="0" w:beforeAutospacing="0" w:after="0" w:afterAutospacing="0" w:line="440" w:lineRule="exact"/>
        <w:rPr>
          <w:rFonts w:hint="eastAsia" w:ascii="宋体" w:hAnsi="宋体" w:eastAsia="宋体" w:cs="宋体"/>
          <w:color w:val="auto"/>
          <w:sz w:val="24"/>
          <w:szCs w:val="24"/>
          <w:highlight w:val="none"/>
        </w:rPr>
      </w:pPr>
      <w:r/>
      <w:bookmarkStart w:id="29" w:name="_Toc28359003"/>
      <w:r/>
      <w:bookmarkStart w:id="30" w:name="_Toc35393622"/>
      <w:r/>
      <w:bookmarkStart w:id="31" w:name="_Toc176774445"/>
      <w:r/>
      <w:bookmarkStart w:id="32" w:name="_Toc35393791"/>
      <w:r/>
      <w:bookmarkStart w:id="33" w:name="_Toc38985264"/>
      <w:r/>
      <w:bookmarkStart w:id="34" w:name="_Toc28359080"/>
      <w:r>
        <w:rPr>
          <w:rFonts w:hint="eastAsia" w:ascii="宋体" w:hAnsi="宋体" w:eastAsia="宋体" w:cs="宋体"/>
          <w:color w:val="auto"/>
          <w:sz w:val="24"/>
          <w:szCs w:val="24"/>
          <w:highlight w:val="none"/>
        </w:rPr>
        <w:t xml:space="preserve">二、申请人的资格要求：</w:t>
      </w:r>
      <w:bookmarkEnd w:id="29"/>
      <w:r/>
      <w:bookmarkEnd w:id="30"/>
      <w:r/>
      <w:bookmarkEnd w:id="31"/>
      <w:r/>
      <w:bookmarkEnd w:id="32"/>
      <w:r/>
      <w:bookmarkEnd w:id="33"/>
      <w:r/>
      <w:bookmarkEnd w:id="34"/>
      <w:r/>
      <w:r/>
    </w:p>
    <w:p>
      <w:pPr>
        <w:pStyle w:val="91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bookmarkStart w:id="35" w:name="_Toc35393792"/>
      <w:r/>
      <w:bookmarkStart w:id="36" w:name="_Toc35393623"/>
      <w:r/>
      <w:bookmarkStart w:id="37" w:name="_Toc28359004"/>
      <w:r/>
      <w:bookmarkStart w:id="38" w:name="_Toc28359081"/>
      <w:r/>
      <w:bookmarkStart w:id="39" w:name="_Toc38985265"/>
      <w:r>
        <w:rPr>
          <w:rFonts w:hint="eastAsia" w:ascii="宋体" w:hAnsi="宋体" w:eastAsia="宋体" w:cs="宋体"/>
          <w:color w:val="auto"/>
          <w:sz w:val="24"/>
          <w:szCs w:val="24"/>
          <w:highlight w:val="none"/>
        </w:rPr>
        <w:t xml:space="preserve">（一）通用资格要求</w:t>
      </w:r>
      <w:bookmarkEnd w:id="35"/>
      <w:r/>
      <w:bookmarkEnd w:id="36"/>
      <w:r/>
      <w:bookmarkEnd w:id="37"/>
      <w:r/>
      <w:bookmarkEnd w:id="38"/>
      <w:r/>
      <w:bookmarkEnd w:id="39"/>
      <w:r/>
      <w:r/>
    </w:p>
    <w:p>
      <w:pPr>
        <w:pStyle w:val="911"/>
        <w:ind w:left="0" w:right="0" w:firstLine="56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40" w:name="OLE_LINK2"/>
      <w:r>
        <w:rPr>
          <w:rFonts w:hint="eastAsia" w:ascii="宋体" w:hAnsi="宋体" w:eastAsia="宋体" w:cs="宋体"/>
          <w:color w:val="auto"/>
          <w:sz w:val="24"/>
          <w:szCs w:val="24"/>
          <w:highlight w:val="none"/>
        </w:rPr>
        <w:t xml:space="preserve">具备《中华人民共和国政府采购法》第二十二条第一款规定的6项条件（按要求提供</w:t>
      </w:r>
      <w:bookmarkStart w:id="41" w:name="OLE_LINK3"/>
      <w:r>
        <w:rPr>
          <w:rFonts w:hint="eastAsia" w:ascii="宋体" w:hAnsi="宋体" w:eastAsia="宋体" w:cs="宋体"/>
          <w:color w:val="auto"/>
          <w:sz w:val="24"/>
          <w:szCs w:val="24"/>
          <w:highlight w:val="none"/>
        </w:rPr>
        <w:t xml:space="preserve">投标声明及承诺函</w:t>
      </w:r>
      <w:bookmarkEnd w:id="41"/>
      <w:r>
        <w:rPr>
          <w:rFonts w:hint="eastAsia" w:ascii="宋体" w:hAnsi="宋体" w:eastAsia="宋体" w:cs="宋体"/>
          <w:color w:val="auto"/>
          <w:sz w:val="24"/>
          <w:szCs w:val="24"/>
          <w:highlight w:val="none"/>
        </w:rPr>
        <w:t xml:space="preserve">）。</w:t>
      </w:r>
      <w:bookmarkEnd w:id="40"/>
      <w:r/>
      <w:r/>
    </w:p>
    <w:p>
      <w:pPr>
        <w:pStyle w:val="911"/>
        <w:ind w:left="0" w:right="0" w:firstLine="56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 </w:t>
      </w:r>
      <w:r/>
    </w:p>
    <w:p>
      <w:pPr>
        <w:pStyle w:val="911"/>
        <w:numPr>
          <w:ilvl w:val="0"/>
          <w:numId w:val="0"/>
        </w:numPr>
        <w:ind w:left="0" w:righ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rPr>
        <w:t xml:space="preserve">落实政府采购政策需满足的资格要求：</w:t>
      </w:r>
      <w:r/>
    </w:p>
    <w:p>
      <w:pPr>
        <w:pStyle w:val="911"/>
        <w:numPr>
          <w:ilvl w:val="0"/>
          <w:numId w:val="0"/>
        </w:numPr>
        <w:ind w:left="0" w:righ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采购包1：</w:t>
      </w:r>
      <w:r/>
    </w:p>
    <w:p>
      <w:pPr>
        <w:pStyle w:val="911"/>
        <w:numPr>
          <w:ilvl w:val="0"/>
          <w:numId w:val="0"/>
        </w:numPr>
        <w:ind w:left="0" w:righ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专门面向中小微企业（含监狱企业、残疾人福利企业）采购，所投产品制造商应为中小微企业（含监狱企业、残疾人福利企业）（须提供《中小企业或残疾人福利性单位声明函》）。所投产品制造商为非中小微企业（含监狱企业、残疾人福利企业）参与本项目投标，将作无效投标处理。</w:t>
      </w:r>
      <w:r/>
    </w:p>
    <w:p>
      <w:pPr>
        <w:pStyle w:val="911"/>
        <w:numPr>
          <w:ilvl w:val="0"/>
          <w:numId w:val="0"/>
        </w:numPr>
        <w:ind w:left="0" w:righ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p>
    <w:p>
      <w:pPr>
        <w:pStyle w:val="911"/>
        <w:numPr>
          <w:ilvl w:val="0"/>
          <w:numId w:val="0"/>
        </w:numPr>
        <w:ind w:left="0" w:right="0" w:firstLine="480"/>
        <w:jc w:val="both"/>
        <w:keepLines w:val="0"/>
        <w:keepNext w:val="0"/>
        <w:pageBreakBefore w:val="0"/>
        <w:spacing w:before="0" w:beforeAutospacing="0" w:after="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项目专门面向中小微企业（含监狱企业、残疾人福利企业）采购，所投产品制造商应为中小微企业（含监狱企业、残疾人福利企业）（须提供《中小企业或残疾人福利性单位声明函》）。所投产品制造商为非中小微企业（含监狱企业、残疾人福利企业）参与本项目投标，将作无效投标处理。</w:t>
      </w:r>
      <w:r/>
    </w:p>
    <w:p>
      <w:pPr>
        <w:pStyle w:val="911"/>
        <w:numPr>
          <w:ilvl w:val="0"/>
          <w:numId w:val="1"/>
        </w:numPr>
        <w:ind w:left="0" w:righ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本项目的特定资格要求：</w:t>
      </w:r>
      <w:bookmarkStart w:id="42" w:name="_Toc176774446"/>
      <w:r/>
      <w:r/>
    </w:p>
    <w:p>
      <w:pPr>
        <w:pStyle w:val="911"/>
        <w:numPr>
          <w:ilvl w:val="0"/>
          <w:numId w:val="0"/>
        </w:numPr>
        <w:ind w:left="480" w:right="0"/>
        <w:jc w:val="both"/>
        <w:keepLines w:val="0"/>
        <w:keepNext w:val="0"/>
        <w:pageBreakBefore w:val="0"/>
        <w:spacing w:before="0" w:beforeAutospacing="0" w:after="0" w:afterAutospacing="0" w:line="440" w:lineRule="exact"/>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采购包1：</w:t>
      </w:r>
      <w:r>
        <w:rPr>
          <w:rFonts w:hint="eastAsia" w:ascii="宋体" w:hAnsi="宋体" w:cs="宋体"/>
          <w:color w:val="auto"/>
          <w:sz w:val="24"/>
          <w:szCs w:val="24"/>
          <w:highlight w:val="none"/>
          <w:lang w:val="en-US" w:eastAsia="zh-CN"/>
        </w:rPr>
        <w:t xml:space="preserve">无。</w:t>
      </w:r>
      <w:r/>
    </w:p>
    <w:p>
      <w:pPr>
        <w:pStyle w:val="911"/>
        <w:numPr>
          <w:ilvl w:val="0"/>
          <w:numId w:val="0"/>
        </w:numPr>
        <w:ind w:left="480" w:right="0"/>
        <w:jc w:val="both"/>
        <w:keepLines w:val="0"/>
        <w:keepNext w:val="0"/>
        <w:pageBreakBefore w:val="0"/>
        <w:spacing w:before="0" w:beforeAutospacing="0" w:after="0" w:afterAutospacing="0" w:line="440" w:lineRule="exact"/>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无。</w:t>
      </w:r>
      <w:r/>
    </w:p>
    <w:p>
      <w:pPr>
        <w:pStyle w:val="911"/>
        <w:numPr>
          <w:ilvl w:val="0"/>
          <w:numId w:val="0"/>
        </w:numPr>
        <w:ind w:left="0" w:right="0" w:firstLine="480"/>
        <w:jc w:val="both"/>
        <w:keepLines w:val="0"/>
        <w:keepNext w:val="0"/>
        <w:pageBreakBefore w:val="0"/>
        <w:spacing w:before="0" w:beforeAutospacing="0" w:after="0" w:afterAutospacing="0" w:line="440" w:lineRule="exact"/>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注：单位负责人为同一人或者存在直接控股、管理关系的不同供应商，不得参加同一合同项下的政府采购活动。否则，相关投标均无效。</w:t>
      </w:r>
      <w:r/>
    </w:p>
    <w:p>
      <w:pPr>
        <w:pStyle w:val="911"/>
        <w:numPr>
          <w:ilvl w:val="0"/>
          <w:numId w:val="0"/>
        </w:numPr>
        <w:ind w:left="0" w:right="0"/>
        <w:jc w:val="both"/>
        <w:keepLines w:val="0"/>
        <w:keepNext w:val="0"/>
        <w:pageBreakBefore w:val="0"/>
        <w:spacing w:before="0" w:beforeAutospacing="0" w:after="0" w:afterAutospacing="0" w:line="440" w:lineRule="exact"/>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三、获取招标文件</w:t>
      </w:r>
      <w:bookmarkEnd w:id="42"/>
      <w:r/>
      <w:bookmarkStart w:id="43" w:name="_Toc176774447"/>
      <w:r/>
      <w:r/>
    </w:p>
    <w:p>
      <w:pPr>
        <w:pStyle w:val="911"/>
        <w:numPr>
          <w:ilvl w:val="0"/>
          <w:numId w:val="0"/>
        </w:numPr>
        <w:ind w:left="0" w:right="0" w:firstLine="560"/>
        <w:jc w:val="both"/>
        <w:keepLines w:val="0"/>
        <w:keepNext w:val="0"/>
        <w:pageBreakBefore w:val="0"/>
        <w:spacing w:before="0" w:beforeAutospacing="0" w:after="0" w:afterAutospacing="0" w:line="44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时间：自招标文件公告发布之日起5个工作日</w:t>
      </w:r>
      <w:r/>
    </w:p>
    <w:p>
      <w:pPr>
        <w:pStyle w:val="911"/>
        <w:numPr>
          <w:ilvl w:val="0"/>
          <w:numId w:val="0"/>
        </w:numPr>
        <w:ind w:left="0" w:right="0" w:firstLine="560"/>
        <w:jc w:val="both"/>
        <w:keepLines w:val="0"/>
        <w:keepNext w:val="0"/>
        <w:pageBreakBefore w:val="0"/>
        <w:spacing w:before="0" w:beforeAutospacing="0" w:after="0" w:afterAutospacing="0" w:line="44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地点：招标文件提供的时间内，通过“苏采云”系统（网址：http://jszfcg.jsczt.cn/）或宿迁市政府采购网点击“政府采购管理交易系统（苏采云）”，使用CA（数字证书）锁进入系统从“项目参与”--“采购项目”菜单中，找到本项目</w:t>
      </w:r>
      <w:r>
        <w:rPr>
          <w:rFonts w:hint="eastAsia" w:ascii="宋体" w:hAnsi="宋体" w:cs="宋体"/>
          <w:b w:val="0"/>
          <w:bCs w:val="0"/>
          <w:color w:val="auto"/>
          <w:sz w:val="24"/>
          <w:szCs w:val="24"/>
          <w:highlight w:val="none"/>
          <w:lang w:val="en-US" w:eastAsia="zh-CN" w:bidi="ar"/>
        </w:rPr>
        <w:t xml:space="preserve">。</w:t>
      </w:r>
      <w:r/>
    </w:p>
    <w:p>
      <w:pPr>
        <w:pStyle w:val="911"/>
        <w:numPr>
          <w:ilvl w:val="0"/>
          <w:numId w:val="0"/>
        </w:numPr>
        <w:ind w:left="0" w:right="0" w:firstLine="560"/>
        <w:jc w:val="both"/>
        <w:keepLines w:val="0"/>
        <w:keepNext w:val="0"/>
        <w:pageBreakBefore w:val="0"/>
        <w:spacing w:before="0" w:beforeAutospacing="0" w:after="0" w:afterAutospacing="0" w:line="44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方式：投标人应在招标文件提供的时间内，通过“苏采云”系统（网址：http://jszfcg.jsczt.cn/）或宿迁市政府采购网点击“政府采购管理交易系统（苏采云）”，使用CA（数字证书）锁进入系统从“项目参与”--“采购项目”菜单中，找到本项目获取采购文件（后缀名为“.kedt”）。</w:t>
      </w:r>
      <w:r/>
    </w:p>
    <w:p>
      <w:pPr>
        <w:pStyle w:val="902"/>
        <w:ind w:left="0" w:right="0" w:firstLine="467"/>
        <w:jc w:val="both"/>
        <w:keepLines/>
        <w:keepNext/>
        <w:pageBreakBefore w:val="0"/>
        <w:spacing w:before="0" w:beforeAutospacing="0" w:after="0" w:afterAutospacing="0" w:line="44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售价：0.00元</w:t>
      </w:r>
      <w:r/>
    </w:p>
    <w:p>
      <w:pPr>
        <w:pStyle w:val="902"/>
        <w:ind w:left="0" w:right="0" w:firstLine="467"/>
        <w:jc w:val="both"/>
        <w:keepLines/>
        <w:keepNext/>
        <w:pageBreakBefore w:val="0"/>
        <w:spacing w:before="0" w:beforeAutospacing="0" w:after="0" w:afterAutospacing="0" w:line="440" w:lineRule="exact"/>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本项目共分</w:t>
      </w:r>
      <w:r>
        <w:rPr>
          <w:rFonts w:hint="eastAsia" w:cs="宋体"/>
          <w:b w:val="0"/>
          <w:bCs w:val="0"/>
          <w:color w:val="auto"/>
          <w:sz w:val="24"/>
          <w:szCs w:val="24"/>
          <w:highlight w:val="none"/>
          <w:lang w:val="en-US" w:eastAsia="zh-CN" w:bidi="ar"/>
        </w:rPr>
        <w:t xml:space="preserve">贰</w:t>
      </w:r>
      <w:r>
        <w:rPr>
          <w:rFonts w:hint="eastAsia" w:ascii="宋体" w:hAnsi="宋体" w:eastAsia="宋体" w:cs="宋体"/>
          <w:b w:val="0"/>
          <w:bCs w:val="0"/>
          <w:color w:val="auto"/>
          <w:sz w:val="24"/>
          <w:szCs w:val="24"/>
          <w:highlight w:val="none"/>
          <w:lang w:val="en-US" w:eastAsia="zh-CN" w:bidi="ar"/>
        </w:rPr>
        <w:t xml:space="preserve">个包。投标人未按要求获取招标文件导致无法投标的，后果自负（其投标文件不予接受）。</w:t>
      </w:r>
      <w:r/>
    </w:p>
    <w:p>
      <w:pPr>
        <w:pStyle w:val="902"/>
        <w:ind w:left="0" w:right="0" w:firstLine="467"/>
        <w:jc w:val="both"/>
        <w:keepLines/>
        <w:keepNext/>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四、提交投标文件截止时间、开标时间和地点</w:t>
      </w:r>
      <w:bookmarkEnd w:id="43"/>
      <w:r/>
      <w:r/>
    </w:p>
    <w:p>
      <w:pPr>
        <w:pStyle w:val="911"/>
        <w:ind w:left="0" w:right="0" w:firstLine="56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1.提交投标文件截止时间、开标时间：</w:t>
      </w:r>
      <w:r>
        <w:rPr>
          <w:rFonts w:hint="eastAsia" w:ascii="宋体" w:hAnsi="宋体" w:eastAsia="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01</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rPr>
        <w:t xml:space="preserve">日9点30分</w:t>
      </w:r>
      <w:r>
        <w:rPr>
          <w:rFonts w:hint="eastAsia" w:ascii="宋体" w:hAnsi="宋体" w:eastAsia="宋体" w:cs="宋体"/>
          <w:color w:val="auto"/>
          <w:sz w:val="24"/>
          <w:szCs w:val="24"/>
          <w:highlight w:val="none"/>
        </w:rPr>
        <w:t xml:space="preserve">（北京时间）</w:t>
      </w:r>
      <w:r/>
    </w:p>
    <w:p>
      <w:pPr>
        <w:pStyle w:val="911"/>
        <w:ind w:left="0" w:right="0" w:firstLine="56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902"/>
        <w:ind w:left="0" w:right="0" w:firstLine="467"/>
        <w:jc w:val="both"/>
        <w:keepLines/>
        <w:keepNext/>
        <w:spacing w:before="0" w:beforeAutospacing="0" w:after="0" w:afterAutospacing="0" w:line="440" w:lineRule="exact"/>
        <w:rPr>
          <w:rFonts w:hint="eastAsia" w:ascii="宋体" w:hAnsi="宋体" w:eastAsia="宋体" w:cs="宋体"/>
          <w:color w:val="auto"/>
          <w:sz w:val="24"/>
          <w:szCs w:val="24"/>
          <w:highlight w:val="none"/>
        </w:rPr>
      </w:pPr>
      <w:r/>
      <w:bookmarkStart w:id="44" w:name="_Toc35393625"/>
      <w:r/>
      <w:bookmarkStart w:id="45" w:name="_Toc176774448"/>
      <w:r/>
      <w:bookmarkStart w:id="46" w:name="_Toc35393794"/>
      <w:r/>
      <w:bookmarkStart w:id="47" w:name="_Toc28359084"/>
      <w:r/>
      <w:bookmarkStart w:id="48" w:name="_Toc38985267"/>
      <w:r/>
      <w:bookmarkStart w:id="49" w:name="_Toc28359007"/>
      <w:r>
        <w:rPr>
          <w:rFonts w:hint="eastAsia" w:ascii="宋体" w:hAnsi="宋体" w:eastAsia="宋体" w:cs="宋体"/>
          <w:color w:val="auto"/>
          <w:sz w:val="24"/>
          <w:szCs w:val="24"/>
          <w:highlight w:val="none"/>
        </w:rPr>
        <w:t xml:space="preserve">五、公告期限</w:t>
      </w:r>
      <w:bookmarkEnd w:id="44"/>
      <w:r/>
      <w:bookmarkEnd w:id="45"/>
      <w:r/>
      <w:bookmarkEnd w:id="46"/>
      <w:r/>
      <w:bookmarkEnd w:id="47"/>
      <w:r/>
      <w:bookmarkEnd w:id="48"/>
      <w:r/>
      <w:bookmarkEnd w:id="49"/>
      <w:r/>
      <w:r/>
    </w:p>
    <w:p>
      <w:pPr>
        <w:pStyle w:val="902"/>
        <w:ind w:left="0" w:right="0" w:firstLine="467"/>
        <w:jc w:val="both"/>
        <w:keepLines/>
        <w:keepNext/>
        <w:spacing w:before="0" w:beforeAutospacing="0" w:after="0" w:afterAutospacing="0" w:line="440" w:lineRule="exact"/>
        <w:rPr>
          <w:rFonts w:hint="eastAsia" w:ascii="宋体" w:hAnsi="宋体" w:eastAsia="宋体" w:cs="宋体"/>
          <w:b w:val="0"/>
          <w:bCs w:val="0"/>
          <w:color w:val="auto"/>
          <w:sz w:val="24"/>
          <w:szCs w:val="24"/>
          <w:highlight w:val="none"/>
          <w:lang w:val="en-US" w:eastAsia="zh-CN" w:bidi="ar"/>
        </w:rPr>
      </w:pPr>
      <w:r/>
      <w:bookmarkStart w:id="50" w:name="_Toc176774449"/>
      <w:r>
        <w:rPr>
          <w:rFonts w:hint="eastAsia" w:ascii="宋体" w:hAnsi="宋体" w:eastAsia="宋体" w:cs="宋体"/>
          <w:b w:val="0"/>
          <w:bCs w:val="0"/>
          <w:color w:val="auto"/>
          <w:sz w:val="24"/>
          <w:szCs w:val="24"/>
          <w:highlight w:val="none"/>
          <w:lang w:val="en-US" w:eastAsia="zh-CN" w:bidi="ar"/>
        </w:rPr>
        <w:t xml:space="preserve">自本公告发布之日起5个工作日。</w:t>
      </w:r>
      <w:r/>
    </w:p>
    <w:p>
      <w:pPr>
        <w:pStyle w:val="902"/>
        <w:ind w:left="0" w:right="0" w:firstLine="467"/>
        <w:jc w:val="both"/>
        <w:keepLines/>
        <w:keepNext/>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六、其他补充事宜</w:t>
      </w:r>
      <w:bookmarkEnd w:id="50"/>
      <w:r/>
      <w:r/>
    </w:p>
    <w:p>
      <w:pPr>
        <w:pStyle w:val="91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bookmarkStart w:id="51" w:name="_Toc35393796"/>
      <w:r/>
      <w:bookmarkStart w:id="52" w:name="_Toc28359085"/>
      <w:r/>
      <w:bookmarkStart w:id="53" w:name="_Toc28359008"/>
      <w:r/>
      <w:bookmarkStart w:id="54" w:name="EB64e1f522fd8c43fcb4d3ba471386b3e7"/>
      <w:r/>
      <w:bookmarkStart w:id="55" w:name="_Toc38985269"/>
      <w:r/>
      <w:bookmarkStart w:id="56" w:name="_Toc35393627"/>
      <w:r>
        <w:rPr>
          <w:rFonts w:hint="eastAsia" w:ascii="宋体" w:hAnsi="宋体" w:eastAsia="宋体" w:cs="宋体"/>
          <w:color w:val="auto"/>
          <w:sz w:val="24"/>
          <w:szCs w:val="24"/>
          <w:highlight w:val="none"/>
          <w:shd w:val="clear" w:color="auto" w:fill="ffffff"/>
        </w:rPr>
        <w:t xml:space="preserve">1.财政部门监督电话：</w:t>
      </w:r>
      <w:r>
        <w:rPr>
          <w:rFonts w:hint="eastAsia" w:ascii="宋体" w:hAnsi="宋体" w:eastAsia="宋体" w:cs="宋体"/>
          <w:color w:val="auto"/>
          <w:sz w:val="24"/>
          <w:szCs w:val="24"/>
          <w:highlight w:val="none"/>
        </w:rPr>
        <w:t xml:space="preserve">0527-88359233</w:t>
      </w:r>
      <w:r>
        <w:rPr>
          <w:rFonts w:hint="eastAsia" w:ascii="宋体" w:hAnsi="宋体" w:eastAsia="宋体" w:cs="宋体"/>
          <w:color w:val="auto"/>
          <w:sz w:val="24"/>
          <w:szCs w:val="24"/>
          <w:highlight w:val="none"/>
          <w:shd w:val="clear" w:color="auto" w:fill="ffffff"/>
        </w:rPr>
        <w:t xml:space="preserve">。</w:t>
      </w:r>
      <w:bookmarkEnd w:id="51"/>
      <w:r/>
      <w:bookmarkEnd w:id="52"/>
      <w:r/>
      <w:bookmarkEnd w:id="53"/>
      <w:r/>
      <w:bookmarkEnd w:id="54"/>
      <w:r/>
      <w:bookmarkEnd w:id="55"/>
      <w:r/>
      <w:bookmarkEnd w:id="56"/>
      <w:r/>
      <w:r/>
    </w:p>
    <w:p>
      <w:pPr>
        <w:pStyle w:val="91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2.“CA”数字证书办理：“苏采云”系统目前仅支持“苏采云”系统下的意源CA。省内各地区办理的“苏采云”系统下的意源CA全省通用。宿迁地区CA数字证书办理联系方式：18762803891。</w:t>
      </w:r>
      <w:r/>
    </w:p>
    <w:p>
      <w:pPr>
        <w:pStyle w:val="911"/>
        <w:ind w:left="0" w:right="0" w:firstLine="48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3.宿迁地区“苏采云”技术支持客服电话：0527-84225125、0519-86722806。</w:t>
      </w:r>
      <w:r/>
    </w:p>
    <w:p>
      <w:pPr>
        <w:pStyle w:val="911"/>
        <w:ind w:left="0" w:right="0" w:firstLine="482"/>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4.投标人通过苏采云系统参与政府采购项目，相关操作手册详见链接：http://www.ccgp-jiangsu.gov.cn/jiangsu/zlxz/ee/ee3a4bc5a3454aa2b0d9312230633ce9.html。</w:t>
      </w:r>
      <w:r/>
    </w:p>
    <w:p>
      <w:pPr>
        <w:pStyle w:val="91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5.现场勘察及答疑：本项目不组织集中勘察及答疑，投标人如对采购需求有疑问，请咨询采购单位联系人。 </w:t>
      </w:r>
      <w:r/>
    </w:p>
    <w:p>
      <w:pPr>
        <w:pStyle w:val="902"/>
        <w:ind w:left="0" w:right="0" w:firstLine="467"/>
        <w:jc w:val="both"/>
        <w:keepLines/>
        <w:keepNext/>
        <w:spacing w:before="0" w:beforeAutospacing="0" w:after="0" w:afterAutospacing="0" w:line="440" w:lineRule="exact"/>
        <w:rPr>
          <w:rFonts w:hint="eastAsia" w:ascii="宋体" w:hAnsi="宋体" w:eastAsia="宋体" w:cs="宋体"/>
          <w:color w:val="auto"/>
          <w:sz w:val="24"/>
          <w:szCs w:val="24"/>
          <w:highlight w:val="none"/>
        </w:rPr>
      </w:pPr>
      <w:r/>
      <w:bookmarkStart w:id="57" w:name="_Toc176774450"/>
      <w:r>
        <w:rPr>
          <w:rFonts w:hint="eastAsia" w:ascii="宋体" w:hAnsi="宋体" w:eastAsia="宋体" w:cs="宋体"/>
          <w:color w:val="auto"/>
          <w:sz w:val="24"/>
          <w:szCs w:val="24"/>
          <w:highlight w:val="none"/>
        </w:rPr>
        <w:t xml:space="preserve">七、本次招标联系方式</w:t>
      </w:r>
      <w:bookmarkEnd w:id="57"/>
      <w:r/>
      <w:r/>
    </w:p>
    <w:p>
      <w:pPr>
        <w:pStyle w:val="911"/>
        <w:ind w:left="0" w:right="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1.采购人信息</w:t>
      </w:r>
      <w:r/>
    </w:p>
    <w:p>
      <w:pPr>
        <w:pStyle w:val="91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u w:val="single"/>
          <w:shd w:val="clear" w:color="auto" w:fill="ffffff"/>
          <w:lang w:eastAsia="zh-CN"/>
        </w:rPr>
        <w:t xml:space="preserve">泗洪姜堰实验学校</w:t>
      </w:r>
      <w:r>
        <w:rPr>
          <w:rFonts w:hint="eastAsia" w:ascii="宋体" w:hAnsi="宋体" w:eastAsia="宋体" w:cs="宋体"/>
          <w:color w:val="auto"/>
          <w:sz w:val="24"/>
          <w:szCs w:val="24"/>
          <w:highlight w:val="none"/>
          <w:u w:val="single"/>
          <w:shd w:val="clear" w:color="auto" w:fill="ffffff"/>
        </w:rPr>
        <w:t xml:space="preserve"> </w:t>
      </w:r>
      <w:r/>
    </w:p>
    <w:p>
      <w:pPr>
        <w:pStyle w:val="911"/>
        <w:ind w:left="0" w:right="0" w:firstLine="480"/>
        <w:jc w:val="both"/>
        <w:spacing w:before="0" w:beforeAutospacing="0" w:after="0" w:afterAutospacing="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u w:val="single"/>
          <w:shd w:val="clear" w:color="auto" w:fill="ffffff"/>
          <w:lang w:val="en-US" w:eastAsia="zh-CN"/>
        </w:rPr>
        <w:t xml:space="preserve">泗洪县青阳镇古徐大道</w:t>
      </w:r>
      <w:r/>
    </w:p>
    <w:p>
      <w:pPr>
        <w:pStyle w:val="911"/>
        <w:ind w:left="0" w:right="0" w:firstLine="480"/>
        <w:jc w:val="both"/>
        <w:spacing w:before="0" w:beforeAutospacing="0" w:after="0" w:afterAutospacing="0"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联系人：</w:t>
      </w:r>
      <w:r>
        <w:rPr>
          <w:rFonts w:hint="eastAsia" w:ascii="宋体" w:hAnsi="宋体" w:cs="宋体"/>
          <w:color w:val="auto"/>
          <w:sz w:val="24"/>
          <w:szCs w:val="24"/>
          <w:highlight w:val="none"/>
          <w:u w:val="single"/>
          <w:lang w:val="en-US" w:eastAsia="zh-CN"/>
        </w:rPr>
        <w:t xml:space="preserve">许宁兵</w:t>
      </w:r>
      <w:r/>
    </w:p>
    <w:p>
      <w:pPr>
        <w:pStyle w:val="911"/>
        <w:ind w:left="0" w:right="0" w:firstLine="480"/>
        <w:jc w:val="both"/>
        <w:spacing w:before="0" w:beforeAutospacing="0" w:after="0" w:afterAutospacing="0" w:line="44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u w:val="single"/>
          <w:lang w:val="en-US" w:eastAsia="zh-CN"/>
        </w:rPr>
        <w:t xml:space="preserve">15996758631</w:t>
      </w:r>
      <w:r>
        <w:rPr>
          <w:rFonts w:hint="eastAsia" w:ascii="宋体" w:hAnsi="宋体" w:eastAsia="宋体" w:cs="宋体"/>
          <w:color w:val="auto"/>
          <w:sz w:val="24"/>
          <w:szCs w:val="24"/>
          <w:highlight w:val="none"/>
          <w:u w:val="single"/>
          <w:lang w:val="en-US" w:eastAsia="zh-CN"/>
        </w:rPr>
        <w:t xml:space="preserve">  </w:t>
      </w:r>
      <w:r/>
    </w:p>
    <w:p>
      <w:pPr>
        <w:pStyle w:val="911"/>
        <w:ind w:left="0" w:right="0" w:firstLine="480"/>
        <w:spacing w:before="0" w:beforeAutospacing="0" w:after="0" w:afterAutospacing="0" w:line="440" w:lineRule="exact"/>
        <w:widowControl/>
        <w:rPr>
          <w:rFonts w:hint="eastAsia" w:ascii="宋体" w:hAnsi="宋体" w:eastAsia="宋体" w:cs="宋体"/>
          <w:color w:val="auto"/>
          <w:sz w:val="24"/>
          <w:szCs w:val="24"/>
          <w:highlight w:val="none"/>
        </w:rPr>
      </w:pPr>
      <w:r/>
      <w:bookmarkStart w:id="58" w:name="_Toc28359009"/>
      <w:r/>
      <w:bookmarkStart w:id="59" w:name="_Toc28359086"/>
      <w:r>
        <w:rPr>
          <w:rFonts w:hint="eastAsia" w:ascii="宋体" w:hAnsi="宋体" w:eastAsia="宋体" w:cs="宋体"/>
          <w:color w:val="auto"/>
          <w:sz w:val="24"/>
          <w:szCs w:val="24"/>
          <w:highlight w:val="none"/>
        </w:rPr>
        <w:t xml:space="preserve">2.</w:t>
      </w:r>
      <w:bookmarkEnd w:id="58"/>
      <w:r/>
      <w:bookmarkEnd w:id="59"/>
      <w:r>
        <w:rPr>
          <w:rFonts w:hint="eastAsia" w:ascii="宋体" w:hAnsi="宋体" w:eastAsia="宋体" w:cs="宋体"/>
          <w:color w:val="auto"/>
          <w:sz w:val="24"/>
          <w:szCs w:val="24"/>
          <w:highlight w:val="none"/>
        </w:rPr>
        <w:t xml:space="preserve">采购代理机构信息</w:t>
      </w:r>
      <w:r/>
    </w:p>
    <w:p>
      <w:pPr>
        <w:pStyle w:val="91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u w:val="single"/>
          <w:shd w:val="clear" w:color="auto" w:fill="ffffff"/>
        </w:rPr>
        <w:t xml:space="preserve">泗</w:t>
      </w:r>
      <w:r>
        <w:rPr>
          <w:rFonts w:hint="eastAsia" w:ascii="宋体" w:hAnsi="宋体" w:eastAsia="宋体" w:cs="宋体"/>
          <w:color w:val="auto"/>
          <w:sz w:val="24"/>
          <w:szCs w:val="24"/>
          <w:highlight w:val="none"/>
          <w:u w:val="single"/>
        </w:rPr>
        <w:t xml:space="preserve">洪县公共资源交易中心</w:t>
      </w:r>
      <w:r>
        <w:rPr>
          <w:rFonts w:hint="eastAsia" w:ascii="宋体" w:hAnsi="宋体" w:eastAsia="宋体" w:cs="宋体"/>
          <w:color w:val="auto"/>
          <w:sz w:val="24"/>
          <w:szCs w:val="24"/>
          <w:highlight w:val="none"/>
          <w:u w:val="single"/>
          <w:shd w:val="clear" w:color="auto" w:fill="ffffff"/>
        </w:rPr>
        <w:t xml:space="preserve"> </w:t>
      </w:r>
      <w:r/>
    </w:p>
    <w:p>
      <w:pPr>
        <w:pStyle w:val="91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泗洪县仁和路5号</w:t>
      </w:r>
      <w:r/>
    </w:p>
    <w:p>
      <w:pPr>
        <w:pStyle w:val="911"/>
        <w:ind w:left="0" w:right="0" w:firstLine="48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朱楠</w:t>
      </w:r>
      <w:r/>
    </w:p>
    <w:p>
      <w:pPr>
        <w:pStyle w:val="911"/>
        <w:ind w:left="0" w:right="0" w:firstLine="480"/>
        <w:jc w:val="both"/>
        <w:spacing w:before="0" w:beforeAutospacing="0" w:after="0" w:afterAutospacing="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u w:val="single"/>
          <w:lang w:val="en-US" w:eastAsia="zh-CN"/>
        </w:rPr>
        <w:t xml:space="preserve">18851398356</w:t>
      </w:r>
      <w:r/>
    </w:p>
    <w:p>
      <w:pPr>
        <w:pStyle w:val="902"/>
        <w:ind w:left="0" w:right="0" w:firstLine="467"/>
        <w:jc w:val="both"/>
        <w:keepLines/>
        <w:keepNext/>
        <w:spacing w:before="0" w:beforeAutospacing="0" w:after="0" w:afterAutospacing="0" w:line="440" w:lineRule="exact"/>
        <w:rPr>
          <w:rFonts w:hint="eastAsia" w:ascii="宋体" w:hAnsi="宋体" w:eastAsia="宋体" w:cs="宋体"/>
          <w:color w:val="auto"/>
          <w:sz w:val="24"/>
          <w:szCs w:val="24"/>
          <w:highlight w:val="none"/>
        </w:rPr>
      </w:pPr>
      <w:r/>
      <w:bookmarkStart w:id="60" w:name="_Toc176774451"/>
      <w:r>
        <w:rPr>
          <w:rFonts w:hint="eastAsia" w:ascii="宋体" w:hAnsi="宋体" w:eastAsia="宋体" w:cs="宋体"/>
          <w:color w:val="auto"/>
          <w:sz w:val="24"/>
          <w:szCs w:val="24"/>
          <w:highlight w:val="none"/>
        </w:rPr>
        <w:t xml:space="preserve">八、其他</w:t>
      </w:r>
      <w:bookmarkEnd w:id="60"/>
      <w:r/>
      <w:r/>
    </w:p>
    <w:p>
      <w:pPr>
        <w:pStyle w:val="911"/>
        <w:ind w:left="0" w:right="0" w:firstLine="480"/>
        <w:jc w:val="left"/>
        <w:spacing w:before="0" w:beforeAutospacing="0" w:after="0" w:afterAutospacing="0" w:line="44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1.有关本次招标的事项若存在变动或修改，敬请及时关注“宿迁市政府采购网”等平台更正公告。</w:t>
      </w:r>
      <w:r/>
    </w:p>
    <w:p>
      <w:pPr>
        <w:pStyle w:val="911"/>
        <w:ind w:left="0" w:right="0" w:firstLine="480"/>
        <w:jc w:val="left"/>
        <w:spacing w:before="0" w:beforeAutospacing="0" w:after="0" w:afterAutospacing="0" w:line="44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2.本次招标不收取投标保证金。</w:t>
      </w:r>
      <w:r/>
    </w:p>
    <w:p>
      <w:pPr>
        <w:pStyle w:val="911"/>
        <w:ind w:left="0" w:right="0" w:firstLine="42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br w:type="page" w:clear="all"/>
      </w:r>
      <w:r>
        <w:rPr>
          <w:rFonts w:hint="eastAsia" w:ascii="宋体" w:hAnsi="宋体" w:eastAsia="宋体" w:cs="宋体"/>
          <w:b/>
          <w:bCs/>
          <w:color w:val="auto"/>
          <w:sz w:val="36"/>
          <w:szCs w:val="36"/>
          <w:highlight w:val="none"/>
          <w:lang w:val="en-US" w:eastAsia="zh-CN"/>
        </w:rPr>
        <w:t xml:space="preserve">第二部分  投标人须知</w:t>
      </w:r>
      <w:r/>
    </w:p>
    <w:p>
      <w:pPr>
        <w:pStyle w:val="911"/>
        <w:ind w:left="0" w:right="0"/>
        <w:jc w:val="both"/>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rPr>
        <w:t xml:space="preserve">投标人须知前附表：</w:t>
      </w:r>
      <w:bookmarkStart w:id="61" w:name="_Toc81575192"/>
      <w:r/>
      <w:bookmarkEnd w:id="61"/>
      <w:r/>
      <w:bookmarkStart w:id="62" w:name="_Toc8239"/>
      <w:r/>
      <w:bookmarkEnd w:id="62"/>
      <w:r/>
      <w:bookmarkStart w:id="63" w:name="_Toc176774452"/>
      <w:r/>
      <w:r/>
    </w:p>
    <w:tbl>
      <w:tblPr>
        <w:tblStyle w:val="727"/>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617"/>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w:t>
            </w:r>
            <w:r/>
          </w:p>
        </w:tc>
        <w:tc>
          <w:tcPr>
            <w:tcW w:w="6579"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说明及要求</w:t>
            </w:r>
            <w:r/>
          </w:p>
        </w:tc>
      </w:tr>
      <w:tr>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p>
        </w:tc>
        <w:tc>
          <w:tcPr>
            <w:tcW w:w="6579" w:type="dxa"/>
            <w:vAlign w:val="center"/>
            <w:textDirection w:val="lrTb"/>
            <w:noWrap w:val="false"/>
          </w:tcPr>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本项目属性按以下第</w:t>
            </w:r>
            <w:r>
              <w:rPr>
                <w:rFonts w:hint="eastAsia" w:ascii="宋体" w:hAnsi="宋体" w:eastAsia="宋体" w:cs="宋体"/>
                <w:color w:val="auto"/>
                <w:sz w:val="24"/>
                <w:szCs w:val="24"/>
                <w:highlight w:val="none"/>
                <w:u w:val="single"/>
                <w:lang w:val="en-US" w:eastAsia="zh-CN"/>
              </w:rPr>
              <w:t xml:space="preserve"> 1 </w:t>
            </w:r>
            <w:r>
              <w:rPr>
                <w:rFonts w:hint="eastAsia" w:ascii="宋体" w:hAnsi="宋体" w:eastAsia="宋体" w:cs="宋体"/>
                <w:color w:val="auto"/>
                <w:sz w:val="24"/>
                <w:szCs w:val="24"/>
                <w:highlight w:val="none"/>
              </w:rPr>
              <w:t xml:space="preserve">种确定：</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1.货物采购；2.服务采购；3.工程采购。</w:t>
            </w:r>
            <w:r/>
          </w:p>
        </w:tc>
      </w:tr>
      <w:tr>
        <w:trPr>
          <w:trHeight w:val="680"/>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W w:w="6579" w:type="dxa"/>
            <w:vAlign w:val="center"/>
            <w:textDirection w:val="lrTb"/>
            <w:noWrap w:val="false"/>
          </w:tcPr>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bookmarkStart w:id="64" w:name="EBd40b5fb42f2944a3b45e579ce3941f02"/>
            <w:r/>
            <w:bookmarkEnd w:id="64"/>
            <w:r>
              <w:rPr>
                <w:rFonts w:hint="eastAsia" w:ascii="宋体" w:hAnsi="宋体" w:eastAsia="宋体" w:cs="宋体"/>
                <w:color w:val="auto"/>
                <w:sz w:val="24"/>
                <w:szCs w:val="24"/>
                <w:highlight w:val="none"/>
              </w:rPr>
              <w:t xml:space="preserve">60日（从提交投标文件截止之日起算）</w:t>
            </w:r>
            <w:r/>
          </w:p>
        </w:tc>
      </w:tr>
      <w:tr>
        <w:trPr>
          <w:trHeight w:val="680"/>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投标文件份数</w:t>
            </w:r>
            <w:r/>
          </w:p>
        </w:tc>
        <w:tc>
          <w:tcPr>
            <w:tcW w:w="6579" w:type="dxa"/>
            <w:vAlign w:val="center"/>
            <w:textDirection w:val="lrTb"/>
            <w:noWrap w:val="false"/>
          </w:tcPr>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提交加密电子投标文件</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份。</w:t>
            </w:r>
            <w:r/>
          </w:p>
        </w:tc>
      </w:tr>
      <w:tr>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c>
          <w:tcPr>
            <w:tcW w:w="6579" w:type="dxa"/>
            <w:vAlign w:val="center"/>
            <w:textDirection w:val="lrTb"/>
            <w:noWrap w:val="false"/>
          </w:tcPr>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c>
          <w:tcPr>
            <w:tcW w:w="6579" w:type="dxa"/>
            <w:vAlign w:val="center"/>
            <w:textDirection w:val="lrTb"/>
            <w:noWrap w:val="false"/>
          </w:tcPr>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p>
          <w:p>
            <w:pPr>
              <w:ind w:left="0" w:right="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1.接受进口产品。应当符合《政府采购进口产品管理办法》（财库〔2007〕119号）、《关于政府采购进口产品管理有关问题的通知》（财办库〔2008〕248号）等相关规定；</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2.不接受进口产品。</w:t>
            </w:r>
            <w:r/>
          </w:p>
        </w:tc>
      </w:tr>
      <w:tr>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W w:w="6579" w:type="dxa"/>
            <w:vAlign w:val="center"/>
            <w:textDirection w:val="lrTb"/>
            <w:noWrap w:val="false"/>
          </w:tcPr>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具体评标办法详见招标文件第三章。</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评标委员会依据招标文件规定的评标办法和标准推荐</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名中标候选人。</w:t>
            </w:r>
            <w:r/>
          </w:p>
        </w:tc>
      </w:tr>
      <w:tr>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确定中标人</w:t>
            </w:r>
            <w:r/>
          </w:p>
        </w:tc>
        <w:tc>
          <w:tcPr>
            <w:tcW w:w="6579" w:type="dxa"/>
            <w:vAlign w:val="center"/>
            <w:textDirection w:val="lrTb"/>
            <w:noWrap w:val="false"/>
          </w:tcPr>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rPr>
              <w:t xml:space="preserve">种方式确定中标人：</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1.采购人按规定在评标委员会推荐的中标候选人中确定中标人；</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2.采购人授权评标委员会直接确定中标人。</w:t>
            </w:r>
            <w:r/>
          </w:p>
        </w:tc>
      </w:tr>
      <w:tr>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w:t>
            </w:r>
            <w:r/>
          </w:p>
        </w:tc>
        <w:tc>
          <w:tcPr>
            <w:tcW w:w="6579" w:type="dxa"/>
            <w:vAlign w:val="center"/>
            <w:textDirection w:val="lrTb"/>
            <w:noWrap w:val="false"/>
          </w:tcPr>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本项目的非主体、非关键性工作是否允许分包按以下第</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rPr>
              <w:t xml:space="preserve">种方式确定：</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1.允许分包，允许大中型企业向一家或者多家小微企业分包，分包具体内容、金额或比例：</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w:t>
            </w:r>
            <w:r/>
          </w:p>
        </w:tc>
      </w:tr>
      <w:tr>
        <w:trPr>
          <w:trHeight w:val="1020"/>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代理费用收取方式及标准</w:t>
            </w:r>
            <w:r/>
          </w:p>
        </w:tc>
        <w:tc>
          <w:tcPr>
            <w:tcW w:w="6579" w:type="dxa"/>
            <w:vAlign w:val="center"/>
            <w:textDirection w:val="lrTb"/>
            <w:noWrap w:val="false"/>
          </w:tcPr>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bookmarkStart w:id="65" w:name="EBfe735bb6fc4d4e5e9e350f940db98c5f"/>
            <w:r/>
            <w:bookmarkEnd w:id="65"/>
            <w:r>
              <w:rPr>
                <w:rFonts w:hint="eastAsia" w:ascii="宋体" w:hAnsi="宋体" w:eastAsia="宋体" w:cs="宋体"/>
                <w:color w:val="auto"/>
                <w:sz w:val="24"/>
                <w:szCs w:val="24"/>
                <w:highlight w:val="none"/>
              </w:rPr>
              <w:t xml:space="preserve">本项目不收取代理费。</w:t>
            </w:r>
            <w:r/>
          </w:p>
        </w:tc>
      </w:tr>
      <w:tr>
        <w:trPr/>
        <w:tc>
          <w:tcPr>
            <w:tcW w:w="858"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772" w:type="dxa"/>
            <w:vAlign w:val="center"/>
            <w:textDirection w:val="lrTb"/>
            <w:noWrap w:val="false"/>
          </w:tcPr>
          <w:p>
            <w:pPr>
              <w:ind w:left="0" w:right="0"/>
              <w:jc w:val="center"/>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W w:w="6579" w:type="dxa"/>
            <w:vAlign w:val="center"/>
            <w:textDirection w:val="lrTb"/>
            <w:noWrap w:val="false"/>
          </w:tcPr>
          <w:p>
            <w:pPr>
              <w:numPr>
                <w:ilvl w:val="0"/>
                <w:numId w:val="0"/>
              </w:num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信用信息查询截止时间：资格审查结束前。由采购人在资格审查现场查询信用信息，网页截屏打印，查询结果留存并归档。</w:t>
            </w:r>
            <w:bookmarkEnd w:id="63"/>
            <w:r/>
            <w:r/>
          </w:p>
        </w:tc>
      </w:tr>
    </w:tbl>
    <w:p>
      <w:pPr>
        <w:pStyle w:val="967"/>
        <w:ind w:left="0" w:right="0" w:firstLine="321"/>
        <w:pageBreakBefore w:val="0"/>
        <w:spacing w:before="0" w:beforeAutospacing="0" w:after="0" w:afterAutospacing="0" w:line="440" w:lineRule="exact"/>
        <w:widowControl w:val="off"/>
        <w:rPr>
          <w:rFonts w:hint="eastAsia" w:ascii="宋体" w:hAnsi="宋体" w:eastAsia="宋体" w:cs="宋体"/>
          <w:bCs/>
          <w:color w:val="auto"/>
          <w:sz w:val="24"/>
          <w:szCs w:val="24"/>
          <w:highlight w:val="none"/>
        </w:rPr>
      </w:pPr>
      <w:r/>
      <w:bookmarkStart w:id="66" w:name="_Toc81575155"/>
      <w:r/>
      <w:bookmarkStart w:id="67" w:name="_Toc30953"/>
      <w:r>
        <w:rPr>
          <w:rFonts w:hint="eastAsia" w:ascii="宋体" w:hAnsi="宋体" w:eastAsia="宋体" w:cs="宋体"/>
          <w:bCs/>
          <w:color w:val="auto"/>
          <w:sz w:val="24"/>
          <w:szCs w:val="24"/>
          <w:highlight w:val="none"/>
        </w:rPr>
        <w:t xml:space="preserve">一、总 则</w:t>
      </w:r>
      <w:bookmarkEnd w:id="66"/>
      <w:r/>
      <w:bookmarkEnd w:id="67"/>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1、招标方式</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本次采购采取公开招标方式。</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2、合格的投标人</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2.1合格的投标人必须符合招标文件第一章《投标邀请》第二条及投标人须知前附表相关规定，且具备完成本项目的能力，中标后不允许转包。</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2.2满足本文件实质性要求的规定。</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3、适用法律</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本次招标及由招标产生的合同受中华人民共和国的相关法律、法规制约和保护。</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4、投标费用</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投标人应自行承担所有参加投标有关的费用。</w:t>
      </w:r>
      <w:r/>
    </w:p>
    <w:p>
      <w:pPr>
        <w:pStyle w:val="967"/>
        <w:ind w:left="0" w:right="0" w:firstLine="321"/>
        <w:pageBreakBefore w:val="0"/>
        <w:spacing w:before="0" w:beforeAutospacing="0" w:after="0" w:afterAutospacing="0" w:line="440" w:lineRule="exact"/>
        <w:widowControl w:val="off"/>
        <w:rPr>
          <w:rFonts w:hint="eastAsia" w:ascii="宋体" w:hAnsi="宋体" w:eastAsia="宋体" w:cs="宋体"/>
          <w:bCs/>
          <w:color w:val="auto"/>
          <w:sz w:val="24"/>
          <w:szCs w:val="24"/>
          <w:highlight w:val="none"/>
        </w:rPr>
      </w:pPr>
      <w:r/>
      <w:bookmarkStart w:id="68" w:name="_Toc81575156"/>
      <w:r/>
      <w:bookmarkStart w:id="69" w:name="_Toc81575193"/>
      <w:r/>
      <w:bookmarkStart w:id="70" w:name="_Toc15995"/>
      <w:r/>
      <w:bookmarkStart w:id="71" w:name="_Toc29306"/>
      <w:r>
        <w:rPr>
          <w:rFonts w:hint="eastAsia" w:ascii="宋体" w:hAnsi="宋体" w:eastAsia="宋体" w:cs="宋体"/>
          <w:bCs/>
          <w:color w:val="auto"/>
          <w:sz w:val="24"/>
          <w:szCs w:val="24"/>
          <w:highlight w:val="none"/>
        </w:rPr>
        <w:t xml:space="preserve">二、招标文件</w:t>
      </w:r>
      <w:bookmarkEnd w:id="68"/>
      <w:r/>
      <w:bookmarkEnd w:id="69"/>
      <w:r/>
      <w:bookmarkEnd w:id="70"/>
      <w:r/>
      <w:bookmarkEnd w:id="71"/>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5、招标文件构成</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5.1招标文件由以下部分组成：</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第一章：投标邀请；</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第二章：投标人须知；</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第三章：资格审查及评标办法；</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第四章：采购需求；</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第五章：合同文本；</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第六章：投标文件格式。</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请仔细检查招标文件是否齐全，如有缺漏请立即与代理机构联系解决。</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6、政府采购政策功能落实</w:t>
      </w:r>
      <w:r/>
    </w:p>
    <w:p>
      <w:pPr>
        <w:ind w:left="0" w:right="0" w:firstLine="482"/>
        <w:pageBreakBefore w:val="0"/>
        <w:spacing w:beforeAutospacing="0" w:afterAutospacing="0" w:line="440" w:lineRule="exact"/>
        <w:widowControl w:val="off"/>
        <w:rPr>
          <w:rFonts w:hint="default"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rPr>
        <w:t xml:space="preserve">本项目落实的政府采购政策对应序号为</w:t>
      </w:r>
      <w:r>
        <w:rPr>
          <w:rFonts w:hint="eastAsia" w:ascii="宋体" w:hAnsi="宋体" w:eastAsia="宋体" w:cs="宋体"/>
          <w:b/>
          <w:bCs/>
          <w:color w:val="auto"/>
          <w:sz w:val="24"/>
          <w:szCs w:val="24"/>
          <w:highlight w:val="none"/>
          <w:u w:val="single"/>
        </w:rPr>
        <w:t xml:space="preserve">6.1、6.2 、6.3</w:t>
      </w:r>
      <w:r>
        <w:rPr>
          <w:rFonts w:hint="eastAsia" w:ascii="宋体" w:hAnsi="宋体" w:cs="宋体"/>
          <w:b/>
          <w:bCs/>
          <w:color w:val="auto"/>
          <w:sz w:val="24"/>
          <w:szCs w:val="24"/>
          <w:highlight w:val="none"/>
          <w:u w:val="single"/>
          <w:lang w:eastAsia="zh-CN"/>
        </w:rPr>
        <w:t xml:space="preserve">、</w:t>
      </w:r>
      <w:r>
        <w:rPr>
          <w:rFonts w:hint="eastAsia" w:ascii="宋体" w:hAnsi="宋体" w:cs="宋体"/>
          <w:b/>
          <w:bCs/>
          <w:color w:val="auto"/>
          <w:sz w:val="24"/>
          <w:szCs w:val="24"/>
          <w:highlight w:val="none"/>
          <w:u w:val="single"/>
          <w:lang w:val="en-US" w:eastAsia="zh-CN"/>
        </w:rPr>
        <w:t xml:space="preserve">6.4</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6.1中小企业政策</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本项目按第</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1</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none"/>
          <w:lang w:val="en-US" w:eastAsia="zh-CN"/>
        </w:rPr>
        <w:t xml:space="preserve">项</w:t>
      </w:r>
      <w:r>
        <w:rPr>
          <w:rFonts w:hint="eastAsia" w:ascii="宋体" w:hAnsi="宋体" w:eastAsia="宋体" w:cs="宋体"/>
          <w:color w:val="auto"/>
          <w:sz w:val="24"/>
          <w:szCs w:val="24"/>
          <w:highlight w:val="none"/>
        </w:rPr>
        <w:t xml:space="preserve">政策落实：</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（1）本项目专门面向中小企业（含监狱与戒毒企业、残疾人福利企业）采购。</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（2）对符合规定情形的小微企业报价给予</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扣除，用扣除后的价格参加评审。</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在货物采购项目中，货物由中小企业制造，即货物由中小企业生产且使用该中小企业商号或者注册商标。</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6.2节能产品、环境标志产品</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6.2.2采购人拟采购的产品属于优先采购的节能环保品目清单范围的，按以下条件优先采购：</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采用综合评分法的项目，对提供有效节能环保证书的投标人加分。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采用最低评标价法的项目，同等条件下优先推荐提供有效节能环保证书多的投标人为中标人。</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6.3政府采购需求标准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6.3.1商品包装、快递包装政府采购需求标准（试行）</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按照财政部印发的《商品包装政府采购需求标准（试行）》《快递包装政府采购需求标准（试行）》要求执行，本项目商品包装和快递包装的具体需求详见第四章采购需求。</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6.3.2绿色数据中心政府采购需求标准（试行）</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6.3.3绿色建材政府采购需求标准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按照财政部住房和城乡建设部工业和信息化部关于印发《关于扩大政府采购支持绿色建材促进建筑品质提升政策实施范围的通知》要求执行，本项目绿色建材的具体需求详见第四章采购需求。</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7、招标文件的澄清或修改</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7.2招标文件的澄清、修改将在原公告媒体上发布更正公告，澄清、修改文件均作为招标文件的组成部分，并对投标人具有约束力。</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7.3投标人应及时登录“苏采云”系统获取澄清答疑文件（修改后的招标文件），如投标人未能及时下载澄清答疑文件，造成的相关责任由投标人承担。</w:t>
      </w:r>
      <w:r/>
    </w:p>
    <w:p>
      <w:pPr>
        <w:pStyle w:val="967"/>
        <w:ind w:left="0" w:right="0" w:firstLine="321"/>
        <w:pageBreakBefore w:val="0"/>
        <w:spacing w:before="0" w:beforeAutospacing="0" w:after="0" w:afterAutospacing="0" w:line="440" w:lineRule="exact"/>
        <w:widowControl w:val="off"/>
        <w:rPr>
          <w:rFonts w:hint="eastAsia" w:ascii="宋体" w:hAnsi="宋体" w:eastAsia="宋体" w:cs="宋体"/>
          <w:bCs/>
          <w:color w:val="auto"/>
          <w:sz w:val="24"/>
          <w:szCs w:val="24"/>
          <w:highlight w:val="none"/>
        </w:rPr>
      </w:pPr>
      <w:r/>
      <w:bookmarkStart w:id="72" w:name="_Toc11461"/>
      <w:r/>
      <w:bookmarkStart w:id="73" w:name="_Toc5574"/>
      <w:r/>
      <w:bookmarkStart w:id="74" w:name="_Toc81575157"/>
      <w:r/>
      <w:bookmarkStart w:id="75" w:name="_Toc81575194"/>
      <w:r>
        <w:rPr>
          <w:rFonts w:hint="eastAsia" w:ascii="宋体" w:hAnsi="宋体" w:eastAsia="宋体" w:cs="宋体"/>
          <w:bCs/>
          <w:color w:val="auto"/>
          <w:sz w:val="24"/>
          <w:szCs w:val="24"/>
          <w:highlight w:val="none"/>
        </w:rPr>
        <w:t xml:space="preserve">三、投标文件的编制</w:t>
      </w:r>
      <w:bookmarkEnd w:id="72"/>
      <w:r/>
      <w:bookmarkEnd w:id="73"/>
      <w:r/>
      <w:bookmarkEnd w:id="74"/>
      <w:r/>
      <w:bookmarkEnd w:id="75"/>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8、投标文件的编制要求</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8.1投标人应仔细阅读“招标文件”的所有内容，保证所提供的全部资料的真实性、完整性及有效性，以使其投标对“招标文件”作出实质性响应。</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9、投标文件构成</w:t>
      </w:r>
      <w:r/>
    </w:p>
    <w:p>
      <w:pPr>
        <w:ind w:left="0" w:right="0" w:firstLine="480"/>
        <w:pageBreakBefore w:val="0"/>
        <w:spacing w:beforeAutospacing="0" w:afterAutospacing="0"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9.1投标文件包括资格证明文件、开标一览表、分项报价表、响应及偏离表、投标函、其他证明文件等部分。</w:t>
      </w:r>
      <w:r>
        <w:rPr>
          <w:rFonts w:hint="eastAsia" w:ascii="宋体" w:hAnsi="宋体" w:eastAsia="宋体" w:cs="宋体"/>
          <w:bCs/>
          <w:color w:val="auto"/>
          <w:sz w:val="24"/>
          <w:szCs w:val="24"/>
          <w:highlight w:val="none"/>
        </w:rPr>
        <w:t xml:space="preserve">投标文件构成资料为非中文时应提供中文译版。</w:t>
      </w:r>
      <w:bookmarkStart w:id="76" w:name="EBc50e2bb832bb43068403b10c1cce6141"/>
      <w:r/>
      <w:r/>
    </w:p>
    <w:p>
      <w:pPr>
        <w:ind w:left="0" w:right="0" w:firstLine="482"/>
        <w:pageBreakBefore w:val="0"/>
        <w:spacing w:beforeAutospacing="0" w:afterAutospacing="0"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76"/>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10、投标报价</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报价为一次报价，本项目不接受备选的投标方案或有选择的报价，只允许有一个报价。投标报价内容包括：所需设备、材料、安装、调试、维护、培训、运输、施工、垃圾清扫和搬运、成品保护、检测、检验、利润、税金、政策性文件规定及本项目包含的所有风险、责任等各项应有费用。</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10.2报价注意事项：投标价格一律以人民币计算，以元为单位标注，最多保留至小数点后两位，招标文件有规定的按招标文件执行。</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11、投标保证金</w:t>
      </w:r>
      <w:bookmarkStart w:id="77" w:name="EB183a0bf075204c54a4ff090f1aecaaa7"/>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本项目不收取投标保证金。</w:t>
      </w:r>
      <w:bookmarkEnd w:id="77"/>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12、投标有效期</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12.1在投标人须知前附表规定的投标有效期内，投标有效期从提交投标文件的截止之日起算。投标有效期比规定短的将被视为未实质性响应招标文件。</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967"/>
        <w:ind w:left="0" w:right="0" w:firstLine="321"/>
        <w:pageBreakBefore w:val="0"/>
        <w:spacing w:before="0" w:beforeAutospacing="0" w:after="0" w:afterAutospacing="0" w:line="440" w:lineRule="exact"/>
        <w:widowControl w:val="off"/>
        <w:rPr>
          <w:rFonts w:hint="eastAsia" w:ascii="宋体" w:hAnsi="宋体" w:eastAsia="宋体" w:cs="宋体"/>
          <w:bCs/>
          <w:color w:val="auto"/>
          <w:sz w:val="24"/>
          <w:szCs w:val="24"/>
          <w:highlight w:val="none"/>
        </w:rPr>
      </w:pPr>
      <w:r/>
      <w:bookmarkStart w:id="78" w:name="_Toc81575195"/>
      <w:r/>
      <w:bookmarkStart w:id="79" w:name="_Toc81575158"/>
      <w:r/>
      <w:bookmarkStart w:id="80" w:name="_Toc23443"/>
      <w:r/>
      <w:bookmarkStart w:id="81" w:name="_Toc2773"/>
      <w:r>
        <w:rPr>
          <w:rFonts w:hint="eastAsia" w:ascii="宋体" w:hAnsi="宋体" w:eastAsia="宋体" w:cs="宋体"/>
          <w:bCs/>
          <w:color w:val="auto"/>
          <w:sz w:val="24"/>
          <w:szCs w:val="24"/>
          <w:highlight w:val="none"/>
        </w:rPr>
        <w:t xml:space="preserve">四、投标文件的提交</w:t>
      </w:r>
      <w:bookmarkEnd w:id="78"/>
      <w:r/>
      <w:bookmarkEnd w:id="79"/>
      <w:r/>
      <w:bookmarkEnd w:id="80"/>
      <w:r/>
      <w:bookmarkEnd w:id="81"/>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13、投标文件的提交</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13.2投标文件的修改和撤回：在投标截止时间前，投标人可以撤回或重新提交投标文件。投标文件以最终完成上传的为准。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14、投标文件被拒绝接收的情形</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在招标文件规定的投标截止时间后上传的投标文件或对投标报价或其他实质性内容修正的文件。</w:t>
      </w:r>
      <w:r/>
    </w:p>
    <w:p>
      <w:pPr>
        <w:pStyle w:val="967"/>
        <w:ind w:left="0" w:right="0" w:firstLine="321"/>
        <w:pageBreakBefore w:val="0"/>
        <w:spacing w:before="0" w:beforeAutospacing="0" w:after="0" w:afterAutospacing="0" w:line="440" w:lineRule="exact"/>
        <w:widowControl w:val="off"/>
        <w:rPr>
          <w:rFonts w:hint="eastAsia" w:ascii="宋体" w:hAnsi="宋体" w:eastAsia="宋体" w:cs="宋体"/>
          <w:bCs/>
          <w:color w:val="auto"/>
          <w:sz w:val="24"/>
          <w:szCs w:val="24"/>
          <w:highlight w:val="none"/>
        </w:rPr>
      </w:pPr>
      <w:r/>
      <w:bookmarkStart w:id="82" w:name="_Toc20026"/>
      <w:r/>
      <w:bookmarkStart w:id="83" w:name="_Toc959"/>
      <w:r/>
      <w:bookmarkStart w:id="84" w:name="_Toc81575197"/>
      <w:r/>
      <w:bookmarkStart w:id="85" w:name="_Toc81575160"/>
      <w:r>
        <w:rPr>
          <w:rFonts w:hint="eastAsia" w:ascii="宋体" w:hAnsi="宋体" w:eastAsia="宋体" w:cs="宋体"/>
          <w:bCs/>
          <w:color w:val="auto"/>
          <w:sz w:val="24"/>
          <w:szCs w:val="24"/>
          <w:highlight w:val="none"/>
        </w:rPr>
        <w:t xml:space="preserve">五、开标、评标程序</w:t>
      </w:r>
      <w:bookmarkEnd w:id="82"/>
      <w:r/>
      <w:bookmarkEnd w:id="83"/>
      <w:r/>
      <w:bookmarkEnd w:id="84"/>
      <w:r/>
      <w:bookmarkEnd w:id="85"/>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15、开标</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15.1采购代理机构将在招标公告中规定的时间和地点组织公开开标。投标人应当按照《操作手册》规定，参加开标活动，在“苏采云”系统规定的时间内对投标文件解密。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15.2开标仪式由采购代理机构组织。“苏采云”系统将自动对项目进行开标，并宣布各投标人名称和投标价格。</w:t>
      </w:r>
      <w:r/>
    </w:p>
    <w:p>
      <w:pPr>
        <w:ind w:left="0" w:right="0" w:firstLine="482"/>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15.4投标人如果对开标过程和开标记录有疑义，应当根据《操作手册》规定提出。如“苏采云”系统中《开标记录表》宣布后5分钟内未提出的，视同认可开标结果。</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15.5投标人在开、评标全过程中应保持通讯畅通，及时登录“苏采云”系统查阅、答复相关信息。</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16、评标委员会</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17、评标程序</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17.1资格审查</w:t>
      </w:r>
      <w:bookmarkStart w:id="86" w:name="EBa9c0a2c9e523494487594c65b2a92370"/>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开标结束后，采购人依法根据招标文件的规定对投标人的资格证明文件等进行审查。</w:t>
      </w:r>
      <w:bookmarkEnd w:id="86"/>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17.2符合性检查</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17.2.1依据招标文件的规定，由评标委员会从投标文件的有效性、完整性和对招标文件的响应程度进行审查，以确定是否对招标文件的实质性要求作出响应。</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87" w:name="EB1499356fad43416eb16398733accabf7"/>
      <w:r>
        <w:rPr>
          <w:rFonts w:hint="eastAsia" w:ascii="宋体" w:hAnsi="宋体" w:eastAsia="宋体" w:cs="宋体"/>
          <w:color w:val="auto"/>
          <w:sz w:val="24"/>
          <w:szCs w:val="24"/>
          <w:highlight w:val="none"/>
        </w:rPr>
        <w:t xml:space="preserve">所谓重大偏离是指投标人投标文件中所述设备质量、技术规格、数量、交货期、服务等明显不能满足招标文件要求。</w:t>
      </w:r>
      <w:bookmarkEnd w:id="87"/>
      <w:r>
        <w:rPr>
          <w:rFonts w:hint="eastAsia" w:ascii="宋体" w:hAnsi="宋体" w:eastAsia="宋体" w:cs="宋体"/>
          <w:color w:val="auto"/>
          <w:sz w:val="24"/>
          <w:szCs w:val="24"/>
          <w:highlight w:val="none"/>
        </w:rPr>
        <w:t xml:space="preserve">重大偏离的认定需经过评标委员会以少数服从多数的原则作出结论。</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17.5相同品牌产品投标</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17.5.3非单一产品采购项目，采购人确定核心产品，并在招标文件中载明。多家投标人提供的核心产品品牌相同的，按前两款规定处理。</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17.6有关问题的澄清</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17.6.2投标文件报价出现前后不一致的，除招标文件另有规定外，按照下列规定修正：</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①投标文件中开标一览表（报价表）内容与投标文件中相应内容不一致的，以开标一览表（报价表）为准；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②大写金额和小写金额不一致的，以大写金额为准；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③单价金额小数点或者百分比有明显错位的，以开标一览表的总价为准，并修改单价；</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④总价金额与按单价汇总金额不一致的，以单价金额计算结果为准。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w:t>
      </w:r>
      <w:r/>
    </w:p>
    <w:p>
      <w:pPr>
        <w:ind w:firstLine="480"/>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17.7异常低价投标审查</w:t>
      </w:r>
      <w:r/>
    </w:p>
    <w:p>
      <w:pPr>
        <w:ind w:firstLine="480"/>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17.7.1评标过程中出现下列情形之一的，评标委员会应当启动异常低价投标审查程序：</w:t>
      </w:r>
      <w:r/>
    </w:p>
    <w:p>
      <w:pPr>
        <w:ind w:firstLine="480"/>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（1）投标报价低于采购项目预算50%的，即投标报价＜采购项目预算×50%；</w:t>
      </w:r>
      <w:r/>
    </w:p>
    <w:p>
      <w:pPr>
        <w:ind w:firstLine="480"/>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（2）投标报价低于采购项目最高限价45%的，即投标报价＜采购项目最高限价×45%；</w:t>
      </w:r>
      <w:r/>
    </w:p>
    <w:p>
      <w:pPr>
        <w:ind w:firstLine="480"/>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（3）评标委员会认定的供应商报价过低（含明显低于其他通过符合性审查投标人的报价）、有可能影响产品质量或者不能诚信履约的其他情形。</w:t>
      </w:r>
      <w:r/>
    </w:p>
    <w:p>
      <w:pPr>
        <w:ind w:firstLine="480"/>
        <w:spacing w:line="480" w:lineRule="exact"/>
        <w:rPr>
          <w:rFonts w:hint="eastAsia" w:ascii="宋体" w:hAnsi="宋体" w:eastAsia="宋体" w:cs="宋体"/>
          <w:b/>
          <w:bCs/>
          <w:color w:val="auto"/>
          <w:sz w:val="24"/>
          <w:szCs w:val="24"/>
          <w:highlight w:val="none"/>
        </w:rPr>
      </w:pPr>
      <w:r>
        <w:rPr>
          <w:rFonts w:hint="eastAsia" w:ascii="Times New Roman" w:hAnsi="Times New Roman" w:cs="仿宋"/>
          <w:b/>
          <w:bCs/>
          <w:color w:val="auto"/>
          <w:sz w:val="24"/>
          <w:highlight w:val="none"/>
        </w:rPr>
        <w:t xml:space="preserve">17.7.2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比较</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评标委员会将按招标文件中规定的评标方法和标准，对符合性检查合格的投标文件进行商务和技术评比。</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推荐中标候选人</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评标委员会按照招标文件中规定的评标方法和标准推荐中标候选人。</w:t>
      </w:r>
      <w:r/>
    </w:p>
    <w:p>
      <w:pPr>
        <w:pStyle w:val="967"/>
        <w:ind w:left="0" w:right="0" w:firstLine="321"/>
        <w:pageBreakBefore w:val="0"/>
        <w:spacing w:before="0" w:beforeAutospacing="0" w:after="0" w:afterAutospacing="0" w:line="440" w:lineRule="exact"/>
        <w:widowControl w:val="off"/>
        <w:rPr>
          <w:rFonts w:hint="eastAsia" w:ascii="宋体" w:hAnsi="宋体" w:eastAsia="宋体" w:cs="宋体"/>
          <w:bCs/>
          <w:color w:val="auto"/>
          <w:sz w:val="24"/>
          <w:szCs w:val="24"/>
          <w:highlight w:val="none"/>
        </w:rPr>
      </w:pPr>
      <w:r/>
      <w:bookmarkStart w:id="88" w:name="_Toc8712"/>
      <w:r/>
      <w:bookmarkStart w:id="89" w:name="_Toc81575196"/>
      <w:r/>
      <w:bookmarkStart w:id="90" w:name="_Toc81575159"/>
      <w:r/>
      <w:bookmarkStart w:id="91" w:name="_Toc8841"/>
      <w:r>
        <w:rPr>
          <w:rFonts w:hint="eastAsia" w:ascii="宋体" w:hAnsi="宋体" w:eastAsia="宋体" w:cs="宋体"/>
          <w:bCs/>
          <w:color w:val="auto"/>
          <w:sz w:val="24"/>
          <w:szCs w:val="24"/>
          <w:highlight w:val="none"/>
        </w:rPr>
        <w:t xml:space="preserve">六、无效投标、废标、串通投标</w:t>
      </w:r>
      <w:bookmarkEnd w:id="88"/>
      <w:r/>
      <w:bookmarkEnd w:id="89"/>
      <w:r/>
      <w:bookmarkEnd w:id="90"/>
      <w:r/>
      <w:bookmarkEnd w:id="91"/>
      <w:r>
        <w:rPr>
          <w:rFonts w:hint="eastAsia" w:ascii="宋体" w:hAnsi="宋体" w:eastAsia="宋体" w:cs="宋体"/>
          <w:bCs/>
          <w:color w:val="auto"/>
          <w:sz w:val="24"/>
          <w:szCs w:val="24"/>
          <w:highlight w:val="none"/>
        </w:rPr>
        <w:t xml:space="preserve">及取消中标候选人资格情形</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18、无效投标情形</w:t>
      </w:r>
      <w:r/>
    </w:p>
    <w:p>
      <w:pPr>
        <w:ind w:left="0" w:right="0" w:firstLine="480"/>
        <w:pageBreakBefore w:val="0"/>
        <w:spacing w:beforeAutospacing="0" w:afterAutospacing="0" w:line="440" w:lineRule="exact"/>
        <w:widowControl w:val="off"/>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18.1投标人同一采购包提交两个（含两个）以上不同的投标报价的。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18.2投标人不符合招标文件规定资格要求的或未按规定提交资质证件的。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18.3投标人的报价超过了采购预算或最高限价的。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18.4投标文件未通过符合性审查的。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18.5投标文件出现重大偏离，不符合招标文件中规定的实质性要求的（★部分为实质性要求）。</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18.7</w:t>
      </w:r>
      <w:r>
        <w:rPr>
          <w:rFonts w:hint="eastAsia" w:ascii="宋体" w:hAnsi="宋体" w:eastAsia="宋体" w:cs="宋体"/>
          <w:color w:val="auto"/>
          <w:sz w:val="24"/>
          <w:szCs w:val="24"/>
          <w:highlight w:val="none"/>
        </w:rPr>
        <w:t xml:space="preserve">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投标文件未按照招标文件要求加盖CA电子公章的。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投标人有本招标文件规定的恶意串通投标情形的。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投标文件含有采购人不能接受的附加条件的。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其他法律、法规及本招标文件规定的属无效投标的情形。</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19、废标情形</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19.1符合专业条件的投标人或者对招标文件作实质响应的投标人不足三家的。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19.2出现影响采购公正的违法、违规行为的。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19.3因重大变故，采购任务取消的。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19.4评标委员会认定招标文件存在歧义、重大缺陷导致评审工作无法进行的。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19.5在“苏采云”系统规定时间内成功解密电子投标文件的投标人不足3家的。</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20、投标人不足三家情形处理</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投标截止后投标人不足3家或者通过资格审查或符合性审查的投标人不足3家的，除采购任务取消情形外，按财政部令第87号第四十三条条款进行处理。</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21、串通投标情形</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有下列情形之一的，属于恶意串通投标：</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21.1供应商直接或间接从采购人或采购代理机构处获得其他供应商的投标情况，并修改其投标文件；</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21.2评审活动开始前供应商直接或间接从采购人或采购代理机构处获得评标委员会组成人员情况；</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21.3供应商接受采购人或采购代理机构授意撤换、修改投标文件；</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21.4供应商之间协商投标报价、技术方案等投标文件实质性内容；</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21.5属于同一集团、协会、商会等组织成员的供应商按照该组织要求协同投标；</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21.6供应商之间事先约定由某一特定供应商中标、成交；</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21.7供应商之间商定部分供应商放弃投标或者放弃中标、成交；</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21.8供应商与采购人或采购代理机构之间、供应商相互之间为谋求特定供应商中标成交或者排斥其他供应商的其他串通行为；</w:t>
      </w:r>
      <w:r/>
    </w:p>
    <w:p>
      <w:pPr>
        <w:ind w:left="0" w:right="0" w:firstLine="482"/>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有下列情形之一的，视为投标人串通投标，其投标无效：</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21.9不同投标人的投标文件由同一单位或者个人编制；</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21.10不同投标人委托同一单位或者个人办理投标事宜；</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21.11不同投标人的投标文件载明的项目管理成员或者联系人员为同一人；</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21.12不同投标人的投标文件异常一致或者投标报价呈规律性差异；</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21.13不同投标人的投标文件相互混装；</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21.14不同投标人的投标保证金从同一单位或者个人的账户转出。</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w:t>
      </w:r>
      <w:bookmarkStart w:id="92" w:name="OLE_LINK4"/>
      <w:r>
        <w:rPr>
          <w:rFonts w:hint="eastAsia" w:ascii="宋体" w:hAnsi="宋体" w:eastAsia="宋体" w:cs="宋体"/>
          <w:b/>
          <w:color w:val="auto"/>
          <w:sz w:val="24"/>
          <w:szCs w:val="24"/>
          <w:highlight w:val="none"/>
        </w:rPr>
        <w:t xml:space="preserve">取消中标候选人资格情形</w:t>
      </w:r>
      <w:bookmarkEnd w:id="92"/>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22.1提供虚假材料谋取中标的；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22.2采取不正当手段诋毁、排挤其他投标人的；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22.3与采购人、其他投标人或者采购代理机构恶意串通的；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22.4向采购人、采购代理机构行贿或者提供其他不正当利益的；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22.5未在规定时间内与采购人签订采购合同的；</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22.6法律、法规规定的其</w:t>
      </w:r>
      <w:r>
        <w:rPr>
          <w:rFonts w:hint="eastAsia" w:ascii="宋体" w:hAnsi="宋体" w:cs="宋体"/>
          <w:color w:val="auto"/>
          <w:sz w:val="24"/>
          <w:szCs w:val="24"/>
          <w:highlight w:val="none"/>
          <w:lang w:val="en-US" w:eastAsia="zh-CN"/>
        </w:rPr>
        <w:t xml:space="preserve">他</w:t>
      </w:r>
      <w:r>
        <w:rPr>
          <w:rFonts w:hint="eastAsia" w:ascii="宋体" w:hAnsi="宋体" w:eastAsia="宋体" w:cs="宋体"/>
          <w:color w:val="auto"/>
          <w:sz w:val="24"/>
          <w:szCs w:val="24"/>
          <w:highlight w:val="none"/>
        </w:rPr>
        <w:t xml:space="preserve">情况。</w:t>
      </w:r>
      <w:bookmarkStart w:id="93" w:name="_Toc2391"/>
      <w:r/>
      <w:bookmarkStart w:id="94" w:name="_Toc81575161"/>
      <w:r/>
      <w:bookmarkStart w:id="95" w:name="_Toc6494"/>
      <w:r/>
      <w:bookmarkStart w:id="96" w:name="_Toc81575198"/>
      <w:r/>
      <w:r/>
    </w:p>
    <w:p>
      <w:pPr>
        <w:ind w:left="0" w:right="0" w:firstLine="321"/>
        <w:pageBreakBefore w:val="0"/>
        <w:spacing w:beforeAutospacing="0" w:afterAutospacing="0" w:line="440" w:lineRule="exact"/>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七、中标及合同签订</w:t>
      </w:r>
      <w:bookmarkEnd w:id="93"/>
      <w:r/>
      <w:bookmarkEnd w:id="94"/>
      <w:r/>
      <w:bookmarkEnd w:id="95"/>
      <w:r/>
      <w:bookmarkEnd w:id="96"/>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23、确定中标人</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23.1采购人应当自收到评审报告之日起5个工作日内在评审报告推荐的中标候选人中按顺序确定中标人。</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23.2中标人确定之日起2个工作日内，采购人、采购代理机构将发布中标结果，中标公告的公告期限为1个工作日。</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23.3采购人确定正被列为失信被执行人的投标人为中标人的，中标结果无效。</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24、中标通知书</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24.1在公告中标结果的同时，采购代理机构将向中标人发出中标通知书。中标人使用CA数字证书登录“苏采云”系统及时下载中标通知书。</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24.2中标通知书发出后，采购人改变中标结果的，或者中标人放弃中标项目的，应当依法承担法律责任。</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24.3采用综合评分法评审的，未中标人可于中标结果公告期限届满之日起通过“苏采云”系统查看</w:t>
      </w:r>
      <w:bookmarkStart w:id="97" w:name="OLE_LINK5"/>
      <w:r>
        <w:rPr>
          <w:rFonts w:hint="eastAsia" w:ascii="宋体" w:hAnsi="宋体" w:eastAsia="宋体" w:cs="宋体"/>
          <w:color w:val="auto"/>
          <w:sz w:val="24"/>
          <w:szCs w:val="24"/>
          <w:highlight w:val="none"/>
        </w:rPr>
        <w:t xml:space="preserve">自己的评审得分及排序情况。</w:t>
      </w:r>
      <w:bookmarkEnd w:id="97"/>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25、授予合同</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25.1采购人与中标人应当在中标通知书发出之日起15日内签订政府采购合同。招标文件、中标人的投标文件以及评标过程中有关澄清文件均作为合同附件。</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25.2采购人在自合同签订之日起2个工作日内，将合同在指定的媒体上公告。</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26、履约保证金</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按照以下第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lang w:val="zh-CN"/>
        </w:rPr>
        <w:t xml:space="preserve">方式确定履约保证</w:t>
      </w:r>
      <w:r>
        <w:rPr>
          <w:rFonts w:hint="eastAsia" w:ascii="宋体" w:hAnsi="宋体" w:eastAsia="宋体" w:cs="宋体"/>
          <w:color w:val="auto"/>
          <w:sz w:val="24"/>
          <w:szCs w:val="24"/>
          <w:highlight w:val="none"/>
        </w:rPr>
        <w:t xml:space="preserve">金</w:t>
      </w:r>
      <w:r>
        <w:rPr>
          <w:rFonts w:hint="eastAsia" w:ascii="宋体" w:hAnsi="宋体" w:eastAsia="宋体" w:cs="宋体"/>
          <w:color w:val="auto"/>
          <w:sz w:val="24"/>
          <w:szCs w:val="24"/>
          <w:highlight w:val="none"/>
          <w:lang w:val="zh-CN"/>
        </w:rPr>
        <w:t xml:space="preserve">收取方式。</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（1）本项目不收取履约保证金。</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（2）本项目收取履约保证金。</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26.1履约保证金提交形式</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履约保证金应在</w:t>
      </w:r>
      <w:r>
        <w:rPr>
          <w:rFonts w:hint="eastAsia" w:ascii="宋体" w:hAnsi="宋体" w:eastAsia="宋体" w:cs="宋体"/>
          <w:color w:val="auto"/>
          <w:sz w:val="24"/>
          <w:szCs w:val="24"/>
          <w:highlight w:val="none"/>
          <w:lang w:val="zh-CN"/>
        </w:rPr>
        <w:t xml:space="preserve">中标结果公告发布后</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个</w:t>
      </w:r>
      <w:r>
        <w:rPr>
          <w:rFonts w:hint="eastAsia" w:ascii="宋体" w:hAnsi="宋体" w:cs="宋体"/>
          <w:color w:val="auto"/>
          <w:sz w:val="24"/>
          <w:szCs w:val="24"/>
          <w:highlight w:val="none"/>
          <w:lang w:val="en-US" w:eastAsia="zh-CN"/>
        </w:rPr>
        <w:t xml:space="preserve">日历天</w:t>
      </w:r>
      <w:r>
        <w:rPr>
          <w:rFonts w:hint="eastAsia" w:ascii="宋体" w:hAnsi="宋体" w:eastAsia="宋体" w:cs="宋体"/>
          <w:color w:val="auto"/>
          <w:sz w:val="24"/>
          <w:szCs w:val="24"/>
          <w:highlight w:val="none"/>
          <w:lang w:val="zh-CN"/>
        </w:rPr>
        <w:t xml:space="preserve">内提交</w:t>
      </w:r>
      <w:r>
        <w:rPr>
          <w:rFonts w:hint="eastAsia" w:ascii="宋体" w:hAnsi="宋体" w:eastAsia="宋体" w:cs="宋体"/>
          <w:color w:val="auto"/>
          <w:sz w:val="24"/>
          <w:szCs w:val="24"/>
          <w:highlight w:val="none"/>
        </w:rPr>
        <w:t xml:space="preserve">，除银行电汇、网上银行、数字人民币外，投标人还可选用银行保函、担保公司的保证担保或保险公司的保证保险等多种形式向采购人缴纳。</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26.2履约保证金提交金额</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按采购合同总价的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%提交。</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支持和鼓励投标人使用江苏政府采购电子履约保函（保险）代替缴纳履约保证金，投标人如使用江苏政府采购电子履约保函（保险）的，可按采购合同总价的 </w:t>
      </w:r>
      <w:r>
        <w:rPr>
          <w:rFonts w:hint="eastAsia" w:ascii="宋体" w:hAnsi="宋体" w:eastAsia="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%（履约保证金原提交金额的6折）提交。办理流程、偿付等内容见江苏政府采购网“保险保函”模块。</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26.3履约保证金退还方式</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26.4履约保证金退还条件</w:t>
      </w:r>
      <w:r/>
    </w:p>
    <w:p>
      <w:pPr>
        <w:ind w:left="479" w:right="0" w:firstLine="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货物类项目，项目验收合格，出具验收报告及履约保证金收据申请退付；26.5履约保证金退还时间</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采购人收到投标人退付申请后5个工作日内退还。</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26.6履约保证金不予退还情形</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除不可抗力外，中标人不履行与采购人订立的采购合同的，履约保证金不予退还，给采购人造成的损失超过履约保证金数额的，还应对超过部分予以赔偿。</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26.7逾期退还履约保证金违约责任</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26.8如中标人未在规定时间内缴纳履约保证金，视为虚假承诺，采购人有权报请财政部门进行处理。</w:t>
      </w:r>
      <w:r/>
    </w:p>
    <w:p>
      <w:pPr>
        <w:ind w:left="0" w:right="0" w:firstLine="482"/>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27、政府采购履约资金扶持政策</w:t>
      </w:r>
      <w:r/>
    </w:p>
    <w:p>
      <w:pPr>
        <w:ind w:left="0" w:right="0" w:firstLine="482"/>
        <w:pageBreakBefore w:val="0"/>
        <w:spacing w:beforeAutospacing="0" w:afterAutospacing="0"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江苏省财政厅、中国人民银行南京分行《关于深入推进政府采购线上合同信用融资工作的通知》（苏财购〔2021〕82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left="0" w:right="0" w:firstLine="482"/>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28、合同履行</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28.1政府采购合同订立后，合同各方不得擅自变更、中止或者终止合同。</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967"/>
        <w:ind w:left="0" w:right="0"/>
        <w:pageBreakBefore w:val="0"/>
        <w:spacing w:before="0" w:beforeAutospacing="0" w:after="0" w:afterAutospacing="0" w:line="440" w:lineRule="exact"/>
        <w:widowControl w:val="off"/>
        <w:rPr>
          <w:rFonts w:hint="eastAsia" w:ascii="宋体" w:hAnsi="宋体" w:eastAsia="宋体" w:cs="宋体"/>
          <w:bCs/>
          <w:color w:val="auto"/>
          <w:sz w:val="24"/>
          <w:szCs w:val="24"/>
          <w:highlight w:val="none"/>
        </w:rPr>
      </w:pPr>
      <w:r/>
      <w:bookmarkStart w:id="98" w:name="_Toc7550"/>
      <w:r/>
      <w:bookmarkStart w:id="99" w:name="_Toc81575162"/>
      <w:r/>
      <w:bookmarkStart w:id="100" w:name="_Toc81575199"/>
      <w:r/>
      <w:bookmarkStart w:id="101" w:name="_Toc22084"/>
      <w:r>
        <w:rPr>
          <w:rFonts w:hint="eastAsia" w:ascii="宋体" w:hAnsi="宋体" w:eastAsia="宋体" w:cs="宋体"/>
          <w:bCs/>
          <w:color w:val="auto"/>
          <w:sz w:val="24"/>
          <w:szCs w:val="24"/>
          <w:highlight w:val="none"/>
        </w:rPr>
        <w:t xml:space="preserve">八、</w:t>
      </w:r>
      <w:bookmarkEnd w:id="98"/>
      <w:r/>
      <w:bookmarkEnd w:id="99"/>
      <w:r/>
      <w:bookmarkEnd w:id="100"/>
      <w:r/>
      <w:bookmarkEnd w:id="101"/>
      <w:r/>
      <w:bookmarkStart w:id="102" w:name="_Toc81575163"/>
      <w:r/>
      <w:bookmarkStart w:id="103" w:name="_Toc31888"/>
      <w:r/>
      <w:bookmarkStart w:id="104" w:name="_Toc81575200"/>
      <w:r/>
      <w:bookmarkStart w:id="105" w:name="_Toc12263"/>
      <w:r>
        <w:rPr>
          <w:rFonts w:hint="eastAsia" w:ascii="宋体" w:hAnsi="宋体" w:eastAsia="宋体" w:cs="宋体"/>
          <w:bCs/>
          <w:color w:val="auto"/>
          <w:sz w:val="24"/>
          <w:szCs w:val="24"/>
          <w:highlight w:val="none"/>
        </w:rPr>
        <w:t xml:space="preserve">质疑与投诉</w:t>
      </w:r>
      <w:bookmarkEnd w:id="102"/>
      <w:r/>
      <w:bookmarkEnd w:id="103"/>
      <w:r/>
      <w:bookmarkEnd w:id="104"/>
      <w:r/>
      <w:bookmarkEnd w:id="105"/>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29、质疑</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29.1供应商认为采购文件、采购过程和中标结果使自己的权益受到损害的，可以在知道或者应知其权益受到损害之日起七个工作日内，（具体起算时间见</w:t>
      </w: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.2），以书面形式向采购人或者其委托的采购代理机构提出质疑。质疑超出采购机构代理范围的，投标人应当向采购人提出。</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本项目接收质疑函的方式：现场接收或邮寄接收。</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联系部门：</w:t>
      </w:r>
      <w:r>
        <w:rPr>
          <w:rFonts w:hint="eastAsia" w:ascii="宋体" w:hAnsi="宋体" w:cs="宋体"/>
          <w:color w:val="auto"/>
          <w:sz w:val="24"/>
          <w:szCs w:val="24"/>
          <w:highlight w:val="none"/>
          <w:lang w:eastAsia="zh-CN"/>
        </w:rPr>
        <w:t xml:space="preserve">泗洪姜堰实验学校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泗洪县公共资源交易中心</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联系电话：15996758631  </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通讯地址：泗洪县青阳镇古徐大道</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29.2供应商应知其权益受到损害之日，是指：</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（1）对本项目采购文件提出质疑的，为获取采购文件之日或者采购文件公告期限届满之日；</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（2）对本项目采购过程提出质疑的，为各采购程序环节结束之日；</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（3）对本项目中标结果提出质疑的，为中标结果公告期限届满之日。</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29.4供应商提出质疑应当提交质疑函和必要的证明材料。质疑函的必备内容：</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（1）供应商的姓名或者名称、地址、邮编、联系人及联系电话；</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（3）获取采购文件的时间；</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（4）具体、明确的质疑事项和质疑事项相关的请求；</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（5）事实依据；</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（6）必要的法律依据；</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（7）提出质疑的日期；</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（8）供应商为自然人的，由本人签字；供应商为法人或者其他组织的，应当由法定代表人、主要负责人，或者其授权代表签字或者盖章，并加盖公章；</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29.5采购人在收到质疑函后7个工作日内作出答复，并以书面形式通知质疑供应商和其他有关供应商，但质疑答复的内容不涉及商业秘密。</w:t>
      </w:r>
      <w:r/>
    </w:p>
    <w:p>
      <w:pPr>
        <w:ind w:left="0" w:right="0" w:firstLine="482"/>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30、投诉</w:t>
      </w:r>
      <w:r/>
    </w:p>
    <w:p>
      <w:pPr>
        <w:ind w:left="0" w:right="0" w:firstLine="48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质疑供应商对答复不满意或采购人未在规定时间内作出答复的，可在答复期满后15个工作日内向同级财政部门提起投诉。</w:t>
      </w:r>
      <w:r/>
    </w:p>
    <w:p>
      <w:pPr>
        <w:pStyle w:val="911"/>
        <w:ind w:left="0" w:right="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br w:type="page" w:clear="all"/>
      </w:r>
      <w:r/>
    </w:p>
    <w:p>
      <w:pPr>
        <w:pStyle w:val="911"/>
        <w:ind w:left="0" w:right="0"/>
        <w:jc w:val="center"/>
        <w:keepLines/>
        <w:keepNext/>
        <w:pageBreakBefore/>
        <w:spacing w:before="0" w:beforeAutospacing="0" w:after="0" w:afterAutospacing="0" w:line="440" w:lineRule="exact"/>
        <w:rPr>
          <w:rFonts w:hint="eastAsia" w:ascii="宋体" w:hAnsi="宋体" w:eastAsia="宋体" w:cs="宋体"/>
          <w:b/>
          <w:bCs/>
          <w:color w:val="auto"/>
          <w:sz w:val="36"/>
          <w:szCs w:val="36"/>
          <w:highlight w:val="none"/>
          <w:lang w:val="en-US" w:eastAsia="zh-CN"/>
        </w:rPr>
        <w:outlineLvl w:val="0"/>
      </w:pPr>
      <w:r/>
      <w:bookmarkStart w:id="106" w:name="_Toc81575164"/>
      <w:r/>
      <w:bookmarkStart w:id="107" w:name="_Toc6455"/>
      <w:r/>
      <w:bookmarkStart w:id="108" w:name="_Toc81575201"/>
      <w:r>
        <w:rPr>
          <w:rFonts w:hint="eastAsia" w:ascii="宋体" w:hAnsi="宋体" w:eastAsia="宋体" w:cs="宋体"/>
          <w:b/>
          <w:bCs/>
          <w:color w:val="auto"/>
          <w:sz w:val="36"/>
          <w:szCs w:val="36"/>
          <w:highlight w:val="none"/>
          <w:lang w:val="en-US" w:eastAsia="zh-CN"/>
        </w:rPr>
        <w:t xml:space="preserve">第三部分  资格审查及评标办法</w:t>
      </w:r>
      <w:bookmarkEnd w:id="106"/>
      <w:r/>
      <w:bookmarkEnd w:id="107"/>
      <w:r/>
      <w:bookmarkEnd w:id="108"/>
      <w:r/>
      <w:r/>
    </w:p>
    <w:p>
      <w:pPr>
        <w:pStyle w:val="911"/>
        <w:ind w:left="0" w:right="0" w:firstLine="643"/>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一、资格审查</w:t>
      </w:r>
      <w:r/>
    </w:p>
    <w:p>
      <w:pPr>
        <w:pStyle w:val="911"/>
        <w:ind w:left="0" w:right="0" w:firstLine="42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资格审查人员按照下列指标对各投标人的资格进行审查，未通过审查的为无效标，不参与评标。</w:t>
      </w:r>
      <w:r/>
    </w:p>
    <w:tbl>
      <w:tblPr>
        <w:tblStyle w:val="727"/>
        <w:tblW w:w="9213"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791"/>
      </w:tblGrid>
      <w:tr>
        <w:trPr>
          <w:trHeight w:val="481"/>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left="0" w:right="0"/>
              <w:jc w:val="center"/>
              <w:spacing w:beforeAutospacing="0" w:afterAutospacing="0" w:line="440" w:lineRule="exact"/>
              <w:rPr>
                <w:rFonts w:hint="eastAsia" w:ascii="宋体" w:hAnsi="宋体" w:eastAsia="宋体" w:cs="宋体"/>
                <w:b/>
                <w:bCs/>
                <w:color w:val="auto"/>
                <w:sz w:val="24"/>
                <w:szCs w:val="24"/>
                <w:highlight w:val="none"/>
              </w:rPr>
            </w:pPr>
            <w:r/>
            <w:bookmarkStart w:id="109" w:name="EB9af8278fd1df4f8591f0fad951f64ddb"/>
            <w:r>
              <w:rPr>
                <w:rFonts w:hint="eastAsia" w:ascii="宋体" w:hAnsi="宋体" w:eastAsia="宋体" w:cs="宋体"/>
                <w:b/>
                <w:bCs/>
                <w:color w:val="auto"/>
                <w:sz w:val="24"/>
                <w:szCs w:val="24"/>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791" w:type="dxa"/>
            <w:vAlign w:val="center"/>
            <w:textDirection w:val="lrTb"/>
            <w:noWrap w:val="false"/>
          </w:tcPr>
          <w:p>
            <w:pPr>
              <w:ind w:left="0" w:right="0"/>
              <w:jc w:val="center"/>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审查标准</w:t>
            </w:r>
            <w:r/>
          </w:p>
        </w:tc>
      </w:tr>
      <w:tr>
        <w:trPr>
          <w:trHeight w:val="355"/>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投标声明及承诺函</w:t>
            </w:r>
            <w:r/>
          </w:p>
        </w:tc>
        <w:tc>
          <w:tcPr>
            <w:tcBorders>
              <w:top w:val="single" w:color="auto" w:sz="6" w:space="0"/>
              <w:left w:val="single" w:color="auto" w:sz="6" w:space="0"/>
              <w:bottom w:val="single" w:color="auto" w:sz="6" w:space="0"/>
              <w:right w:val="single" w:color="auto" w:sz="6" w:space="0"/>
            </w:tcBorders>
            <w:tcW w:w="4791"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落实政府采购政策需满足的资格要求</w:t>
            </w:r>
            <w:r/>
          </w:p>
        </w:tc>
        <w:tc>
          <w:tcPr>
            <w:shd w:val="clear" w:color="auto" w:fill="auto"/>
            <w:tcBorders>
              <w:top w:val="single" w:color="auto" w:sz="6" w:space="0"/>
              <w:left w:val="single" w:color="auto" w:sz="6" w:space="0"/>
              <w:bottom w:val="single" w:color="auto" w:sz="6" w:space="0"/>
              <w:right w:val="single" w:color="auto" w:sz="6" w:space="0"/>
            </w:tcBorders>
            <w:tcW w:w="4791"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信用信息</w:t>
            </w:r>
            <w:bookmarkEnd w:id="109"/>
            <w:r/>
            <w:r/>
          </w:p>
        </w:tc>
        <w:tc>
          <w:tcPr>
            <w:shd w:val="clear" w:color="auto" w:fill="auto"/>
            <w:tcBorders>
              <w:top w:val="single" w:color="auto" w:sz="6" w:space="0"/>
              <w:left w:val="single" w:color="auto" w:sz="6" w:space="0"/>
              <w:bottom w:val="single" w:color="auto" w:sz="6" w:space="0"/>
              <w:right w:val="single" w:color="auto" w:sz="6" w:space="0"/>
            </w:tcBorders>
            <w:tcW w:w="4791"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联合体投标</w:t>
            </w:r>
            <w:r/>
          </w:p>
        </w:tc>
        <w:tc>
          <w:tcPr>
            <w:tcBorders>
              <w:top w:val="single" w:color="auto" w:sz="6" w:space="0"/>
              <w:left w:val="single" w:color="auto" w:sz="6" w:space="0"/>
              <w:bottom w:val="single" w:color="auto" w:sz="6" w:space="0"/>
              <w:right w:val="single" w:color="auto" w:sz="6" w:space="0"/>
            </w:tcBorders>
            <w:tcW w:w="4791"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本项目不接受联合体</w:t>
            </w:r>
            <w:r/>
          </w:p>
        </w:tc>
      </w:tr>
    </w:tbl>
    <w:p>
      <w:pPr>
        <w:pStyle w:val="911"/>
        <w:ind w:left="0" w:right="0" w:firstLine="643"/>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二、评分办法—综合评分法</w:t>
      </w:r>
      <w:r/>
    </w:p>
    <w:p>
      <w:pPr>
        <w:pStyle w:val="911"/>
        <w:ind w:left="0" w:right="0" w:firstLine="482"/>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1、评标办法：</w:t>
      </w:r>
      <w:r>
        <w:rPr>
          <w:rFonts w:hint="eastAsia" w:ascii="宋体" w:hAnsi="宋体" w:eastAsia="宋体" w:cs="宋体"/>
          <w:color w:val="auto"/>
          <w:sz w:val="24"/>
          <w:szCs w:val="24"/>
          <w:highlight w:val="none"/>
          <w:shd w:val="clear" w:color="auto" w:fill="ffffff"/>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pStyle w:val="911"/>
        <w:ind w:left="0" w:right="0" w:firstLine="48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评标委员会根据评审后投标人排序推荐中标候选人。投标文件满足招标文件全部实质性要求，且评审后排序第一的投标人为第一中标候选人，依次类推。</w:t>
      </w:r>
      <w:r/>
    </w:p>
    <w:p>
      <w:pPr>
        <w:pStyle w:val="911"/>
        <w:ind w:left="0" w:right="0" w:firstLine="48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综合评分保留至小数点后两位。 </w:t>
      </w:r>
      <w:r/>
    </w:p>
    <w:p>
      <w:pPr>
        <w:pStyle w:val="911"/>
        <w:ind w:left="0" w:right="0" w:firstLine="482"/>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2、符合性审查。</w:t>
      </w:r>
      <w:r>
        <w:rPr>
          <w:rFonts w:hint="eastAsia" w:ascii="宋体" w:hAnsi="宋体" w:eastAsia="宋体" w:cs="宋体"/>
          <w:color w:val="auto"/>
          <w:sz w:val="24"/>
          <w:szCs w:val="24"/>
          <w:highlight w:val="none"/>
          <w:shd w:val="clear" w:color="auto" w:fill="ffffff"/>
        </w:rPr>
        <w:t xml:space="preserve">评标委员会首先按照下列指标对各投标人的投标文件进行符合性审查，未通过审查的为无效标，不再参与评审。</w:t>
      </w:r>
      <w:r/>
    </w:p>
    <w:tbl>
      <w:tblPr>
        <w:tblStyle w:val="727"/>
        <w:tblW w:w="9213"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849"/>
      </w:tblGrid>
      <w:tr>
        <w:trPr>
          <w:trHeight w:val="576"/>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left="0" w:right="0" w:firstLine="480"/>
              <w:jc w:val="center"/>
              <w:spacing w:beforeAutospacing="0" w:afterAutospacing="0" w:line="440" w:lineRule="exact"/>
              <w:rPr>
                <w:rFonts w:hint="eastAsia" w:ascii="宋体" w:hAnsi="宋体" w:eastAsia="宋体" w:cs="宋体"/>
                <w:b/>
                <w:bCs/>
                <w:color w:val="auto"/>
                <w:sz w:val="24"/>
                <w:szCs w:val="24"/>
                <w:highlight w:val="none"/>
              </w:rPr>
            </w:pPr>
            <w:r/>
            <w:bookmarkStart w:id="110" w:name="EB75d0996a6f1d4348a21f8c3293010436"/>
            <w:r>
              <w:rPr>
                <w:rFonts w:hint="eastAsia" w:ascii="宋体" w:hAnsi="宋体" w:eastAsia="宋体" w:cs="宋体"/>
                <w:b/>
                <w:bCs/>
                <w:color w:val="auto"/>
                <w:sz w:val="24"/>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849" w:type="dxa"/>
            <w:vAlign w:val="center"/>
            <w:textDirection w:val="lrTb"/>
            <w:noWrap w:val="false"/>
          </w:tcPr>
          <w:p>
            <w:pPr>
              <w:ind w:left="0" w:right="0" w:firstLine="480"/>
              <w:jc w:val="center"/>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849"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left="0" w:right="0"/>
              <w:jc w:val="left"/>
              <w:spacing w:beforeAutospacing="0" w:afterAutospacing="0"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开标一览表及报价</w:t>
            </w:r>
            <w:r/>
          </w:p>
        </w:tc>
        <w:tc>
          <w:tcPr>
            <w:tcBorders>
              <w:top w:val="single" w:color="auto" w:sz="6" w:space="0"/>
              <w:left w:val="single" w:color="auto" w:sz="6" w:space="0"/>
              <w:bottom w:val="single" w:color="auto" w:sz="6" w:space="0"/>
              <w:right w:val="single" w:color="auto" w:sz="6" w:space="0"/>
            </w:tcBorders>
            <w:tcW w:w="4849" w:type="dxa"/>
            <w:vAlign w:val="center"/>
            <w:textDirection w:val="lrTb"/>
            <w:noWrap w:val="false"/>
          </w:tcPr>
          <w:p>
            <w:pPr>
              <w:ind w:left="0" w:right="0"/>
              <w:jc w:val="left"/>
              <w:spacing w:beforeAutospacing="0" w:afterAutospacing="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技术标准和要求</w:t>
            </w:r>
            <w:r/>
          </w:p>
        </w:tc>
        <w:tc>
          <w:tcPr>
            <w:tcBorders>
              <w:top w:val="single" w:color="auto" w:sz="6" w:space="0"/>
              <w:left w:val="single" w:color="auto" w:sz="6" w:space="0"/>
              <w:bottom w:val="single" w:color="auto" w:sz="6" w:space="0"/>
              <w:right w:val="single" w:color="auto" w:sz="6" w:space="0"/>
            </w:tcBorders>
            <w:tcW w:w="4849"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Borders>
              <w:top w:val="single" w:color="auto" w:sz="6" w:space="0"/>
              <w:left w:val="single" w:color="auto" w:sz="6" w:space="0"/>
              <w:bottom w:val="single" w:color="auto" w:sz="6" w:space="0"/>
              <w:right w:val="single" w:color="auto" w:sz="6" w:space="0"/>
            </w:tcBorders>
            <w:tcW w:w="4849"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bookmarkEnd w:id="110"/>
            <w:r/>
            <w:r/>
          </w:p>
        </w:tc>
      </w:tr>
    </w:tbl>
    <w:p>
      <w:pPr>
        <w:pStyle w:val="911"/>
        <w:ind w:left="0" w:right="0" w:firstLine="482"/>
        <w:spacing w:before="0" w:beforeAutospacing="0" w:after="0" w:afterAutospacing="0" w:line="440" w:lineRule="exact"/>
        <w:rPr>
          <w:rFonts w:hint="eastAsia" w:ascii="宋体" w:hAnsi="宋体" w:eastAsia="宋体" w:cs="宋体"/>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lang w:val="en-US" w:eastAsia="zh-CN"/>
        </w:rPr>
        <w:t xml:space="preserve">3、</w:t>
      </w:r>
      <w:r>
        <w:rPr>
          <w:rFonts w:hint="eastAsia" w:ascii="宋体" w:hAnsi="宋体" w:eastAsia="宋体" w:cs="宋体"/>
          <w:b/>
          <w:bCs/>
          <w:color w:val="auto"/>
          <w:sz w:val="24"/>
          <w:szCs w:val="24"/>
          <w:highlight w:val="none"/>
          <w:shd w:val="clear" w:color="auto" w:fill="ffffff"/>
        </w:rPr>
        <w:t xml:space="preserve">详细评审。</w:t>
      </w:r>
      <w:r>
        <w:rPr>
          <w:rFonts w:hint="eastAsia" w:ascii="宋体" w:hAnsi="宋体" w:eastAsia="宋体" w:cs="宋体"/>
          <w:color w:val="auto"/>
          <w:sz w:val="24"/>
          <w:szCs w:val="24"/>
          <w:highlight w:val="none"/>
          <w:shd w:val="clear" w:color="auto" w:fill="ffffff"/>
        </w:rPr>
        <w:t xml:space="preserve">评标委员会按照招标文件规定的评分标准，对各投标文件进行详细评审打分。评标委员会组长对各评审专家的打分情况进行复核无误后汇总，形成评审报告。</w:t>
      </w:r>
      <w:r/>
    </w:p>
    <w:p>
      <w:pPr>
        <w:pStyle w:val="911"/>
        <w:ind w:left="0" w:right="0" w:firstLine="482"/>
        <w:spacing w:before="0" w:beforeAutospacing="0" w:after="0" w:afterAutospacing="0" w:line="440" w:lineRule="exact"/>
        <w:rPr>
          <w:rFonts w:hint="default" w:ascii="宋体" w:hAnsi="宋体" w:eastAsia="宋体" w:cs="宋体"/>
          <w:b/>
          <w:bCs/>
          <w:color w:val="auto"/>
          <w:sz w:val="24"/>
          <w:szCs w:val="24"/>
          <w:highlight w:val="none"/>
          <w:shd w:val="clear" w:color="auto" w:fill="ffffff"/>
          <w:lang w:val="en-US" w:eastAsia="zh-CN"/>
        </w:rPr>
      </w:pPr>
      <w:r>
        <w:rPr>
          <w:rFonts w:hint="eastAsia" w:ascii="宋体" w:hAnsi="宋体" w:cs="宋体"/>
          <w:b/>
          <w:bCs/>
          <w:color w:val="auto"/>
          <w:sz w:val="24"/>
          <w:szCs w:val="24"/>
          <w:highlight w:val="none"/>
          <w:shd w:val="clear" w:color="auto" w:fill="ffffff"/>
          <w:lang w:val="en-US" w:eastAsia="zh-CN"/>
        </w:rPr>
        <w:t xml:space="preserve">采购包1：</w:t>
      </w:r>
      <w:r/>
    </w:p>
    <w:tbl>
      <w:tblPr>
        <w:tblStyle w:val="727"/>
        <w:tblW w:w="8950" w:type="dxa"/>
        <w:tblInd w:w="-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63"/>
        <w:gridCol w:w="1325"/>
        <w:gridCol w:w="1223"/>
        <w:gridCol w:w="5439"/>
      </w:tblGrid>
      <w:tr>
        <w:trPr>
          <w:trHeight w:val="510"/>
        </w:trPr>
        <w:tc>
          <w:tcPr>
            <w:gridSpan w:val="2"/>
            <w:tcW w:w="2288" w:type="dxa"/>
            <w:vAlign w:val="center"/>
            <w:textDirection w:val="lrTb"/>
            <w:noWrap w:val="false"/>
          </w:tcPr>
          <w:p>
            <w:pPr>
              <w:ind w:left="0" w:right="0"/>
              <w:jc w:val="center"/>
              <w:keepLines w:val="0"/>
              <w:keepNext w:val="0"/>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评审因素</w:t>
            </w:r>
            <w:r/>
          </w:p>
        </w:tc>
        <w:tc>
          <w:tcPr>
            <w:tcW w:w="1223" w:type="dxa"/>
            <w:vAlign w:val="center"/>
            <w:textDirection w:val="lrTb"/>
            <w:noWrap w:val="false"/>
          </w:tcPr>
          <w:p>
            <w:pPr>
              <w:ind w:left="0" w:right="0"/>
              <w:jc w:val="center"/>
              <w:keepLines w:val="0"/>
              <w:keepNext w:val="0"/>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分数</w:t>
            </w:r>
            <w:r/>
          </w:p>
        </w:tc>
        <w:tc>
          <w:tcPr>
            <w:tcW w:w="5439" w:type="dxa"/>
            <w:vAlign w:val="center"/>
            <w:textDirection w:val="lrTb"/>
            <w:noWrap w:val="false"/>
          </w:tcPr>
          <w:p>
            <w:pPr>
              <w:ind w:left="0" w:right="0"/>
              <w:jc w:val="center"/>
              <w:keepLines w:val="0"/>
              <w:keepNext w:val="0"/>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评审标准</w:t>
            </w:r>
            <w:r/>
          </w:p>
        </w:tc>
      </w:tr>
      <w:tr>
        <w:trPr>
          <w:trHeight w:val="23"/>
        </w:trPr>
        <w:tc>
          <w:tcPr>
            <w:tcW w:w="96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报价分</w:t>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采用低价优先法，即满足招标文件要求且投标价格最低的投标报价为评标基准价，其价格为满分30分，其他投标人的价格分别按照下列公式计算：投标报价得分=（评标基准价/投标报价）×30，小数点保留2位。</w:t>
            </w:r>
            <w:r/>
          </w:p>
        </w:tc>
      </w:tr>
      <w:tr>
        <w:trPr>
          <w:trHeight w:val="23"/>
        </w:trPr>
        <w:tc>
          <w:tcPr>
            <w:tcW w:w="963" w:type="dxa"/>
            <w:vAlign w:val="center"/>
            <w:textDirection w:val="lrTb"/>
            <w:noWrap w:val="false"/>
          </w:tcPr>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11" w:name="OLE_LINK30"/>
            <w:r>
              <w:rPr>
                <w:rFonts w:hint="eastAsia" w:ascii="宋体" w:hAnsi="宋体" w:eastAsia="宋体" w:cs="宋体"/>
                <w:color w:val="auto"/>
                <w:sz w:val="24"/>
                <w:szCs w:val="24"/>
                <w:highlight w:val="none"/>
              </w:rPr>
              <w:t xml:space="preserve">技术响应</w:t>
            </w:r>
            <w:bookmarkEnd w:id="111"/>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技术参数响应</w:t>
            </w:r>
            <w:r/>
          </w:p>
        </w:tc>
        <w:tc>
          <w:tcPr>
            <w:tcW w:w="1223" w:type="dxa"/>
            <w:vAlign w:val="center"/>
            <w:textDirection w:val="lrTb"/>
            <w:noWrap w:val="false"/>
          </w:tcPr>
          <w:p>
            <w:pPr>
              <w:ind w:left="0" w:right="0" w:firstLine="480"/>
              <w:jc w:val="center"/>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51</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firstLine="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针对招标文件“第四部分、采购需求”中的“三、</w:t>
            </w:r>
            <w:r>
              <w:rPr>
                <w:rFonts w:hint="eastAsia" w:ascii="宋体" w:hAnsi="宋体" w:cs="宋体"/>
                <w:color w:val="auto"/>
                <w:sz w:val="24"/>
                <w:szCs w:val="24"/>
                <w:highlight w:val="none"/>
                <w:lang w:val="en-US" w:eastAsia="zh-CN"/>
              </w:rPr>
              <w:t xml:space="preserve">采购清单及</w:t>
            </w:r>
            <w:r>
              <w:rPr>
                <w:rFonts w:hint="eastAsia" w:ascii="宋体" w:hAnsi="宋体" w:eastAsia="宋体" w:cs="宋体"/>
                <w:color w:val="auto"/>
                <w:sz w:val="24"/>
                <w:szCs w:val="24"/>
                <w:highlight w:val="none"/>
              </w:rPr>
              <w:t xml:space="preserve">技术参数要求”所列内容进行评分，所投产品技术参数完全满足或优于招标文件技术参数要求的得</w:t>
            </w:r>
            <w:r>
              <w:rPr>
                <w:rFonts w:hint="eastAsia" w:ascii="宋体" w:hAnsi="宋体" w:cs="宋体"/>
                <w:color w:val="auto"/>
                <w:sz w:val="24"/>
                <w:szCs w:val="24"/>
                <w:highlight w:val="none"/>
                <w:lang w:val="en-US" w:eastAsia="zh-CN"/>
              </w:rPr>
              <w:t xml:space="preserve">51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其中：</w:t>
            </w:r>
            <w:r/>
          </w:p>
          <w:p>
            <w:pPr>
              <w:numPr>
                <w:ilvl w:val="0"/>
                <w:numId w:val="0"/>
              </w:numPr>
              <w:ind w:left="0" w:right="0" w:firstLine="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标注</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共</w:t>
            </w:r>
            <w:r>
              <w:rPr>
                <w:rFonts w:hint="eastAsia" w:ascii="宋体" w:hAnsi="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lang w:val="en-US" w:eastAsia="zh-CN"/>
              </w:rPr>
              <w:t xml:space="preserve">条，计</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为重点参数要求，每有一项不满足的扣</w:t>
            </w:r>
            <w:r>
              <w:rPr>
                <w:rFonts w:hint="eastAsia" w:ascii="宋体" w:hAnsi="宋体" w:cs="宋体"/>
                <w:color w:val="auto"/>
                <w:sz w:val="24"/>
                <w:szCs w:val="24"/>
                <w:highlight w:val="none"/>
                <w:u w:val="single"/>
                <w:lang w:val="en-US" w:eastAsia="zh-CN"/>
              </w:rPr>
              <w:t xml:space="preserve">0.4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扣完为止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标注</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eastAsia="zh-CN"/>
              </w:rPr>
              <w:t xml:space="preserve">按照要求</w:t>
            </w:r>
            <w:r>
              <w:rPr>
                <w:rFonts w:hint="eastAsia" w:ascii="宋体" w:hAnsi="宋体" w:eastAsia="宋体" w:cs="宋体"/>
                <w:color w:val="auto"/>
                <w:sz w:val="24"/>
                <w:szCs w:val="24"/>
                <w:highlight w:val="none"/>
              </w:rPr>
              <w:t xml:space="preserve">在投标文件《技术响应偏离表》中逐条列出响应及偏离情况</w:t>
            </w:r>
            <w:r>
              <w:rPr>
                <w:rFonts w:hint="eastAsia" w:ascii="宋体" w:hAnsi="宋体" w:eastAsia="宋体" w:cs="宋体"/>
                <w:color w:val="auto"/>
                <w:sz w:val="24"/>
                <w:szCs w:val="24"/>
                <w:highlight w:val="none"/>
                <w:lang w:val="en-US" w:eastAsia="zh-CN"/>
              </w:rPr>
              <w:t xml:space="preserve">并</w:t>
            </w:r>
            <w:r>
              <w:rPr>
                <w:rFonts w:hint="eastAsia" w:ascii="宋体" w:hAnsi="宋体" w:cs="宋体"/>
                <w:color w:val="auto"/>
                <w:sz w:val="24"/>
                <w:szCs w:val="24"/>
                <w:highlight w:val="none"/>
                <w:lang w:val="en-US" w:eastAsia="zh-CN"/>
              </w:rPr>
              <w:t xml:space="preserve">按要求</w:t>
            </w:r>
            <w:r>
              <w:rPr>
                <w:rFonts w:hint="eastAsia" w:ascii="宋体" w:hAnsi="宋体" w:eastAsia="宋体" w:cs="宋体"/>
                <w:color w:val="auto"/>
                <w:sz w:val="24"/>
                <w:szCs w:val="24"/>
                <w:highlight w:val="none"/>
                <w:lang w:eastAsia="zh-CN"/>
              </w:rPr>
              <w:t xml:space="preserve">提供证明材料，否则视为负偏离扣分。</w:t>
            </w:r>
            <w:r/>
          </w:p>
          <w:p>
            <w:pPr>
              <w:numPr>
                <w:ilvl w:val="0"/>
                <w:numId w:val="0"/>
              </w:numPr>
              <w:ind w:left="0" w:right="0"/>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标注</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val="en-US" w:eastAsia="zh-CN"/>
              </w:rPr>
              <w:t xml:space="preserve">其他参数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共</w:t>
            </w:r>
            <w:r>
              <w:rPr>
                <w:rFonts w:hint="eastAsia" w:ascii="宋体" w:hAnsi="宋体" w:cs="宋体"/>
                <w:color w:val="auto"/>
                <w:sz w:val="24"/>
                <w:szCs w:val="24"/>
                <w:highlight w:val="none"/>
                <w:u w:val="single"/>
                <w:lang w:val="en-US" w:eastAsia="zh-CN"/>
              </w:rPr>
              <w:t xml:space="preserve">900</w:t>
            </w:r>
            <w:r>
              <w:rPr>
                <w:rFonts w:hint="eastAsia" w:ascii="宋体" w:hAnsi="宋体" w:eastAsia="宋体" w:cs="宋体"/>
                <w:color w:val="auto"/>
                <w:sz w:val="24"/>
                <w:szCs w:val="24"/>
                <w:highlight w:val="none"/>
                <w:lang w:val="en-US" w:eastAsia="zh-CN"/>
              </w:rPr>
              <w:t xml:space="preserve">条，计</w:t>
            </w:r>
            <w:r>
              <w:rPr>
                <w:rFonts w:hint="eastAsia" w:ascii="宋体" w:hAnsi="宋体" w:cs="宋体"/>
                <w:color w:val="auto"/>
                <w:sz w:val="24"/>
                <w:szCs w:val="24"/>
                <w:highlight w:val="none"/>
                <w:u w:val="single"/>
                <w:lang w:val="en-US" w:eastAsia="zh-CN"/>
              </w:rPr>
              <w:t xml:space="preserve">45</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rPr>
              <w:t xml:space="preserve">参数要求，每有一项不满足的扣</w:t>
            </w:r>
            <w:r>
              <w:rPr>
                <w:rFonts w:hint="eastAsia" w:ascii="宋体" w:hAnsi="宋体" w:cs="宋体"/>
                <w:color w:val="auto"/>
                <w:sz w:val="24"/>
                <w:szCs w:val="24"/>
                <w:highlight w:val="none"/>
                <w:u w:val="single"/>
                <w:lang w:val="en-US" w:eastAsia="zh-CN"/>
              </w:rPr>
              <w:t xml:space="preserve">0.05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扣完为止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其他参数</w:t>
            </w:r>
            <w:r>
              <w:rPr>
                <w:rFonts w:hint="eastAsia" w:ascii="宋体" w:hAnsi="宋体" w:eastAsia="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《技术响应偏离表》中列出响应及偏离情况</w:t>
            </w:r>
            <w:r>
              <w:rPr>
                <w:rFonts w:hint="eastAsia" w:ascii="宋体" w:hAnsi="宋体" w:eastAsia="宋体" w:cs="宋体"/>
                <w:color w:val="auto"/>
                <w:sz w:val="24"/>
                <w:szCs w:val="24"/>
                <w:highlight w:val="none"/>
                <w:lang w:eastAsia="zh-CN"/>
              </w:rPr>
              <w:t xml:space="preserve">为准，</w:t>
            </w:r>
            <w:r>
              <w:rPr>
                <w:rFonts w:hint="eastAsia" w:ascii="宋体" w:hAnsi="宋体" w:eastAsia="宋体" w:cs="宋体"/>
                <w:color w:val="auto"/>
                <w:sz w:val="24"/>
                <w:szCs w:val="24"/>
                <w:highlight w:val="none"/>
              </w:rPr>
              <w:t xml:space="preserve">未对应</w:t>
            </w:r>
            <w:r>
              <w:rPr>
                <w:rFonts w:hint="eastAsia" w:ascii="宋体" w:hAnsi="宋体" w:eastAsia="宋体" w:cs="宋体"/>
                <w:color w:val="auto"/>
                <w:sz w:val="24"/>
                <w:szCs w:val="24"/>
                <w:highlight w:val="none"/>
                <w:lang w:val="en-US" w:eastAsia="zh-CN"/>
              </w:rPr>
              <w:t xml:space="preserve">列出</w:t>
            </w:r>
            <w:r>
              <w:rPr>
                <w:rFonts w:hint="eastAsia" w:ascii="宋体" w:hAnsi="宋体" w:eastAsia="宋体" w:cs="宋体"/>
                <w:color w:val="auto"/>
                <w:sz w:val="24"/>
                <w:szCs w:val="24"/>
                <w:highlight w:val="none"/>
              </w:rPr>
              <w:t xml:space="preserve">按负偏离进行扣分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有要求提供佐证资料的按照要求提供，无要求的以</w:t>
            </w:r>
            <w:r>
              <w:rPr>
                <w:rFonts w:hint="eastAsia" w:ascii="宋体" w:hAnsi="宋体" w:eastAsia="宋体" w:cs="宋体"/>
                <w:color w:val="auto"/>
                <w:sz w:val="24"/>
                <w:szCs w:val="24"/>
                <w:highlight w:val="none"/>
              </w:rPr>
              <w:t xml:space="preserve">《技术响应偏离表》</w:t>
            </w:r>
            <w:r>
              <w:rPr>
                <w:rFonts w:hint="eastAsia" w:ascii="宋体" w:hAnsi="宋体" w:cs="宋体"/>
                <w:color w:val="auto"/>
                <w:sz w:val="24"/>
                <w:szCs w:val="24"/>
                <w:highlight w:val="none"/>
                <w:lang w:val="en-US" w:eastAsia="zh-CN"/>
              </w:rPr>
              <w:t xml:space="preserve">为准</w:t>
            </w:r>
            <w:r>
              <w:rPr>
                <w:rFonts w:hint="eastAsia" w:ascii="宋体" w:hAnsi="宋体" w:eastAsia="宋体" w:cs="宋体"/>
                <w:color w:val="auto"/>
                <w:sz w:val="24"/>
                <w:szCs w:val="24"/>
                <w:highlight w:val="none"/>
                <w:lang w:eastAsia="zh-CN"/>
              </w:rPr>
              <w:t xml:space="preserve">。</w:t>
            </w:r>
            <w:r/>
          </w:p>
        </w:tc>
      </w:tr>
      <w:tr>
        <w:trPr>
          <w:trHeight w:val="23"/>
        </w:trPr>
        <w:tc>
          <w:tcPr>
            <w:shd w:val="clear" w:color="auto" w:fill="auto"/>
            <w:tcW w:w="963" w:type="dxa"/>
            <w:vAlign w:val="center"/>
            <w:vMerge w:val="restart"/>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w:t>
            </w:r>
            <w:r>
              <w:rPr>
                <w:rFonts w:hint="eastAsia" w:ascii="宋体" w:hAnsi="宋体" w:cs="宋体"/>
                <w:color w:val="auto"/>
                <w:sz w:val="24"/>
                <w:szCs w:val="24"/>
                <w:highlight w:val="none"/>
                <w:lang w:eastAsia="zh-CN"/>
              </w:rPr>
              <w:t xml:space="preserve">经营</w:t>
            </w:r>
            <w:r>
              <w:rPr>
                <w:rFonts w:hint="eastAsia" w:ascii="宋体" w:hAnsi="宋体" w:eastAsia="宋体" w:cs="宋体"/>
                <w:color w:val="auto"/>
                <w:sz w:val="24"/>
                <w:szCs w:val="24"/>
                <w:highlight w:val="none"/>
              </w:rPr>
              <w:t xml:space="preserve">业绩、信誉</w:t>
            </w:r>
            <w:r/>
          </w:p>
        </w:tc>
        <w:tc>
          <w:tcPr>
            <w:shd w:val="clear" w:color="auto" w:fill="auto"/>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企业业绩</w:t>
            </w:r>
            <w:r/>
          </w:p>
        </w:tc>
        <w:tc>
          <w:tcPr>
            <w:shd w:val="clear" w:color="auto" w:fill="auto"/>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.00分</w:t>
            </w:r>
            <w:r/>
          </w:p>
        </w:tc>
        <w:tc>
          <w:tcPr>
            <w:shd w:val="clear" w:color="auto" w:fill="auto"/>
            <w:tcW w:w="5439" w:type="dxa"/>
            <w:vAlign w:val="center"/>
            <w:textDirection w:val="lrTb"/>
            <w:noWrap w:val="false"/>
          </w:tcPr>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bookmarkStart w:id="112" w:name="OLE_LINK33"/>
            <w:r>
              <w:rPr>
                <w:rFonts w:hint="eastAsia" w:ascii="宋体" w:hAnsi="宋体" w:eastAsia="宋体" w:cs="宋体"/>
                <w:color w:val="auto"/>
                <w:sz w:val="24"/>
                <w:szCs w:val="24"/>
                <w:highlight w:val="none"/>
              </w:rPr>
              <w:t xml:space="preserve">投标人自202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日以来（以合同签订时间为准）承接过类似</w:t>
            </w:r>
            <w:bookmarkStart w:id="147" w:name="_GoBack"/>
            <w:r/>
            <w:bookmarkEnd w:id="147"/>
            <w:r>
              <w:rPr>
                <w:rFonts w:hint="eastAsia" w:ascii="宋体" w:hAnsi="宋体" w:eastAsia="宋体" w:cs="宋体"/>
                <w:color w:val="auto"/>
                <w:sz w:val="24"/>
                <w:szCs w:val="24"/>
                <w:highlight w:val="none"/>
              </w:rPr>
              <w:t xml:space="preserve">业绩的，每提供一个得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numPr>
                <w:ilvl w:val="0"/>
                <w:numId w:val="0"/>
              </w:num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投标人需提供业绩证明材料至投标文件，证明材料</w:t>
            </w:r>
            <w:r>
              <w:rPr>
                <w:rFonts w:hint="eastAsia" w:ascii="宋体" w:hAnsi="宋体" w:cs="宋体"/>
                <w:color w:val="auto"/>
                <w:sz w:val="24"/>
                <w:szCs w:val="24"/>
                <w:highlight w:val="none"/>
                <w:lang w:val="en-US" w:eastAsia="zh-CN"/>
              </w:rPr>
              <w:t xml:space="preserve">电子</w:t>
            </w:r>
            <w:r>
              <w:rPr>
                <w:rFonts w:hint="eastAsia" w:ascii="宋体" w:hAnsi="宋体" w:eastAsia="宋体" w:cs="宋体"/>
                <w:color w:val="auto"/>
                <w:sz w:val="24"/>
                <w:szCs w:val="24"/>
                <w:highlight w:val="none"/>
              </w:rPr>
              <w:t xml:space="preserve">扫描件需包含中标（或成交）通知书、合同（或者合同协议书）、采购人履约评价（或者验收合格报告或者验收合格证明），三者缺一不可，未提供或提供不全或模糊不清无法辨认均不予计分。</w:t>
            </w:r>
            <w:r/>
          </w:p>
          <w:p>
            <w:pPr>
              <w:numPr>
                <w:ilvl w:val="0"/>
                <w:numId w:val="0"/>
              </w:num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合同甲方履约评价中出现“不满意”或“差”或“不合格”或同等意思表达的，该业绩不得分。</w:t>
            </w:r>
            <w:r/>
          </w:p>
          <w:p>
            <w:pPr>
              <w:ind w:left="0" w:right="0"/>
              <w:jc w:val="left"/>
              <w:keepLines w:val="0"/>
              <w:keepNext w:val="0"/>
              <w:pageBreakBefore w:val="0"/>
              <w:spacing w:beforeAutospacing="0" w:afterAutospacing="0" w:line="44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（3）投标人提供的企业业绩将随中标结果公告同步公开。</w:t>
            </w:r>
            <w:bookmarkEnd w:id="112"/>
            <w:r/>
            <w:r/>
          </w:p>
        </w:tc>
      </w:tr>
      <w:tr>
        <w:trPr>
          <w:trHeight w:val="5061"/>
        </w:trPr>
        <w:tc>
          <w:tcPr>
            <w:tcW w:w="963" w:type="dxa"/>
            <w:vAlign w:val="center"/>
            <w:vMerge w:val="continue"/>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13" w:name="OLE_LINK34"/>
            <w:r>
              <w:rPr>
                <w:rFonts w:hint="eastAsia" w:ascii="宋体" w:hAnsi="宋体" w:eastAsia="宋体" w:cs="宋体"/>
                <w:color w:val="auto"/>
                <w:sz w:val="24"/>
                <w:szCs w:val="24"/>
                <w:highlight w:val="none"/>
              </w:rPr>
              <w:t xml:space="preserve">环境标志、节能产品</w:t>
            </w:r>
            <w:bookmarkEnd w:id="113"/>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bookmarkStart w:id="114" w:name="OLE_LINK35"/>
            <w:r>
              <w:rPr>
                <w:rFonts w:hint="eastAsia" w:ascii="宋体" w:hAnsi="宋体" w:eastAsia="宋体" w:cs="宋体"/>
                <w:color w:val="auto"/>
                <w:sz w:val="24"/>
                <w:szCs w:val="24"/>
                <w:highlight w:val="none"/>
              </w:rPr>
              <w:t xml:space="preserve">1、投标产品在财政部、生态环境部公布的“环境标志产品政府采购品目清单”内，且投标文件中提供国家市场监督管理局确定的列入“参与实施政府采购环境标志产品认证机构名录 ” 内的认证机构出具的、有效期内的该产品环境标志产品认证证书电子件的得0.5分。未提供的不得分。</w:t>
            </w:r>
            <w:r/>
          </w:p>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得0.5分。未提供的不得分。</w:t>
            </w:r>
            <w:bookmarkEnd w:id="114"/>
            <w:r/>
            <w:r/>
          </w:p>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人提供的节能环保</w:t>
            </w:r>
            <w:r>
              <w:rPr>
                <w:rFonts w:hint="eastAsia" w:ascii="宋体" w:hAnsi="宋体" w:eastAsia="宋体" w:cs="宋体"/>
                <w:b/>
                <w:bCs/>
                <w:color w:val="auto"/>
                <w:sz w:val="24"/>
                <w:szCs w:val="24"/>
                <w:highlight w:val="none"/>
                <w:lang w:val="en-US" w:eastAsia="zh-CN"/>
              </w:rPr>
              <w:t xml:space="preserve">证书</w:t>
            </w:r>
            <w:r>
              <w:rPr>
                <w:rFonts w:hint="eastAsia" w:ascii="宋体" w:hAnsi="宋体" w:eastAsia="宋体" w:cs="宋体"/>
                <w:b/>
                <w:bCs/>
                <w:color w:val="auto"/>
                <w:sz w:val="24"/>
                <w:szCs w:val="24"/>
                <w:highlight w:val="none"/>
              </w:rPr>
              <w:t xml:space="preserve">将随中标结果同步公开。</w:t>
            </w:r>
            <w:r/>
          </w:p>
        </w:tc>
      </w:tr>
      <w:tr>
        <w:trPr>
          <w:trHeight w:val="23"/>
        </w:trPr>
        <w:tc>
          <w:tcPr>
            <w:tcW w:w="96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项目组成员</w:t>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项目组成员</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.00分</w:t>
            </w:r>
            <w:r/>
          </w:p>
        </w:tc>
        <w:tc>
          <w:tcPr>
            <w:tcW w:w="5439" w:type="dxa"/>
            <w:vAlign w:val="center"/>
            <w:textDirection w:val="lrTb"/>
            <w:noWrap w:val="false"/>
          </w:tcPr>
          <w:p>
            <w:pPr>
              <w:numPr>
                <w:ilvl w:val="0"/>
                <w:numId w:val="0"/>
              </w:numPr>
              <w:ind w:left="0" w:right="0"/>
              <w:jc w:val="left"/>
              <w:spacing w:beforeAutospacing="0" w:afterAutospacing="0" w:line="44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项目负责人具有</w:t>
            </w:r>
            <w:r>
              <w:rPr>
                <w:rFonts w:hint="eastAsia" w:ascii="宋体" w:hAnsi="宋体" w:cs="宋体"/>
                <w:color w:val="auto"/>
                <w:sz w:val="24"/>
                <w:szCs w:val="24"/>
                <w:highlight w:val="none"/>
                <w:lang w:val="en-US" w:eastAsia="zh-CN"/>
              </w:rPr>
              <w:t xml:space="preserve">信息系统项目管理师证书</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numPr>
                <w:ilvl w:val="0"/>
                <w:numId w:val="0"/>
              </w:numPr>
              <w:ind w:left="0" w:right="0"/>
              <w:jc w:val="left"/>
              <w:spacing w:beforeAutospacing="0" w:afterAutospacing="0" w:line="44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2、项目组成员具有网络工程师或信息系统项目管理</w:t>
            </w:r>
            <w:r>
              <w:rPr>
                <w:rFonts w:hint="eastAsia" w:ascii="宋体" w:hAnsi="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lang w:val="en-US" w:eastAsia="zh-CN"/>
              </w:rPr>
              <w:t xml:space="preserve">师</w:t>
            </w:r>
            <w:r>
              <w:rPr>
                <w:rFonts w:hint="eastAsia" w:ascii="宋体" w:hAnsi="宋体" w:cs="宋体"/>
                <w:color w:val="auto"/>
                <w:sz w:val="24"/>
                <w:szCs w:val="24"/>
                <w:highlight w:val="none"/>
                <w:lang w:val="en-US" w:eastAsia="zh-CN"/>
              </w:rPr>
              <w:t xml:space="preserve">或系统集成项目管理工程师</w:t>
            </w:r>
            <w:r>
              <w:rPr>
                <w:rFonts w:hint="eastAsia" w:ascii="宋体" w:hAnsi="宋体" w:eastAsia="宋体" w:cs="宋体"/>
                <w:color w:val="auto"/>
                <w:sz w:val="24"/>
                <w:szCs w:val="24"/>
                <w:highlight w:val="none"/>
                <w:lang w:val="en-US" w:eastAsia="zh-CN"/>
              </w:rPr>
              <w:t xml:space="preserve">，每有1个得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分，最高得1分。</w:t>
            </w:r>
            <w:r/>
          </w:p>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注：（1）上述项目组成员必须为本单位员工，需提供</w:t>
            </w:r>
            <w:r>
              <w:rPr>
                <w:rFonts w:hint="eastAsia" w:ascii="宋体" w:hAnsi="宋体" w:cs="宋体"/>
                <w:color w:val="auto"/>
                <w:sz w:val="24"/>
                <w:szCs w:val="24"/>
                <w:highlight w:val="none"/>
                <w:lang w:val="en-US" w:eastAsia="zh-CN"/>
              </w:rPr>
              <w:t xml:space="preserve">2025年6月1日</w:t>
            </w:r>
            <w:r>
              <w:rPr>
                <w:rFonts w:hint="eastAsia" w:ascii="宋体" w:hAnsi="宋体" w:eastAsia="宋体" w:cs="宋体"/>
                <w:color w:val="auto"/>
                <w:sz w:val="24"/>
                <w:szCs w:val="24"/>
                <w:highlight w:val="none"/>
                <w:lang w:val="en-US" w:eastAsia="zh-CN"/>
              </w:rPr>
              <w:t xml:space="preserve">以来</w:t>
            </w:r>
            <w:r>
              <w:rPr>
                <w:rFonts w:hint="eastAsia" w:ascii="宋体" w:hAnsi="宋体" w:cs="宋体"/>
                <w:color w:val="auto"/>
                <w:sz w:val="24"/>
                <w:szCs w:val="24"/>
                <w:highlight w:val="none"/>
                <w:lang w:val="en-US" w:eastAsia="zh-CN"/>
              </w:rPr>
              <w:t xml:space="preserve">任意一个月</w:t>
            </w:r>
            <w:r>
              <w:rPr>
                <w:rFonts w:hint="eastAsia" w:ascii="宋体" w:hAnsi="宋体" w:eastAsia="宋体" w:cs="宋体"/>
                <w:color w:val="auto"/>
                <w:sz w:val="24"/>
                <w:szCs w:val="24"/>
                <w:highlight w:val="none"/>
              </w:rPr>
              <w:t xml:space="preserve">社保部门出具的投标人为其缴纳社会养老保险证明材料，否则不得分。</w:t>
            </w:r>
            <w:r/>
          </w:p>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（2）以上项目组成员中同一人员具备上述多种证书的，不重复计分；同一证书多人具备的，不重复计分。</w:t>
            </w:r>
            <w:r/>
          </w:p>
          <w:p>
            <w:pPr>
              <w:numPr>
                <w:ilvl w:val="0"/>
                <w:numId w:val="0"/>
              </w:numPr>
              <w:ind w:left="0" w:right="0"/>
              <w:jc w:val="left"/>
              <w:spacing w:beforeAutospacing="0" w:afterAutospacing="0" w:line="440" w:lineRule="exact"/>
              <w:shd w:val="clear" w:color="auto"/>
              <w:rPr>
                <w:rFonts w:hint="default" w:ascii="宋体" w:hAnsi="宋体" w:cs="宋体"/>
                <w:strike/>
                <w:color w:val="auto"/>
                <w:sz w:val="24"/>
                <w:szCs w:val="24"/>
                <w:highlight w:val="none"/>
                <w:lang w:val="en-US" w:eastAsia="zh-CN"/>
              </w:rPr>
            </w:pPr>
            <w:r>
              <w:rPr>
                <w:rFonts w:hint="eastAsia" w:ascii="宋体" w:hAnsi="宋体" w:cs="宋体"/>
                <w:b/>
                <w:bCs/>
                <w:strike w:val="0"/>
                <w:color w:val="auto"/>
                <w:sz w:val="24"/>
                <w:szCs w:val="24"/>
                <w:highlight w:val="none"/>
                <w:lang w:val="en-US" w:eastAsia="zh-CN"/>
              </w:rPr>
              <w:t xml:space="preserve">（3）投标人提供的项目组人员证书将随中标结果同步公开。</w:t>
            </w:r>
            <w:r/>
          </w:p>
        </w:tc>
      </w:tr>
      <w:tr>
        <w:trPr>
          <w:trHeight w:val="23"/>
        </w:trPr>
        <w:tc>
          <w:tcPr>
            <w:tcW w:w="963" w:type="dxa"/>
            <w:vAlign w:val="center"/>
            <w:vMerge w:val="restart"/>
            <w:textDirection w:val="lrTb"/>
            <w:noWrap w:val="false"/>
          </w:tcPr>
          <w:p>
            <w:pPr>
              <w:ind w:left="0" w:right="0"/>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项目实施</w:t>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质量保障方案</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投标人根据招标文件“第四章、采购需求—</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、项目实施要求（一）</w:t>
            </w:r>
            <w:r>
              <w:rPr>
                <w:rFonts w:hint="eastAsia" w:ascii="宋体" w:hAnsi="宋体" w:eastAsia="宋体" w:cs="宋体"/>
                <w:color w:val="auto"/>
                <w:sz w:val="24"/>
                <w:szCs w:val="24"/>
                <w:highlight w:val="none"/>
                <w:lang w:val="en-US" w:eastAsia="zh-CN"/>
              </w:rPr>
              <w:t xml:space="preserve">质量保障要求</w:t>
            </w:r>
            <w:r>
              <w:rPr>
                <w:rFonts w:hint="eastAsia" w:ascii="宋体" w:hAnsi="宋体" w:eastAsia="宋体" w:cs="宋体"/>
                <w:color w:val="auto"/>
                <w:sz w:val="24"/>
                <w:szCs w:val="24"/>
                <w:highlight w:val="none"/>
              </w:rPr>
              <w:t xml:space="preserve">”制定</w:t>
            </w:r>
            <w:r>
              <w:rPr>
                <w:rFonts w:hint="eastAsia" w:ascii="宋体" w:hAnsi="宋体" w:eastAsia="宋体" w:cs="宋体"/>
                <w:color w:val="auto"/>
                <w:sz w:val="24"/>
                <w:szCs w:val="24"/>
                <w:highlight w:val="none"/>
                <w:lang w:val="en-US" w:eastAsia="zh-CN"/>
              </w:rPr>
              <w:t xml:space="preserve">质量保障方案</w:t>
            </w:r>
            <w:r>
              <w:rPr>
                <w:rFonts w:hint="eastAsia" w:ascii="宋体" w:hAnsi="宋体" w:eastAsia="宋体" w:cs="宋体"/>
                <w:color w:val="auto"/>
                <w:sz w:val="24"/>
                <w:szCs w:val="24"/>
                <w:highlight w:val="none"/>
              </w:rPr>
              <w:t xml:space="preserve">，评标委员会根据投标人提供的</w:t>
            </w:r>
            <w:r>
              <w:rPr>
                <w:rFonts w:hint="eastAsia" w:ascii="宋体" w:hAnsi="宋体" w:eastAsia="宋体" w:cs="宋体"/>
                <w:color w:val="auto"/>
                <w:sz w:val="24"/>
                <w:szCs w:val="24"/>
                <w:highlight w:val="none"/>
                <w:lang w:val="en-US" w:eastAsia="zh-CN"/>
              </w:rPr>
              <w:t xml:space="preserve">质量保障方案</w:t>
            </w:r>
            <w:r>
              <w:rPr>
                <w:rFonts w:hint="eastAsia" w:ascii="宋体" w:hAnsi="宋体" w:eastAsia="宋体" w:cs="宋体"/>
                <w:color w:val="auto"/>
                <w:sz w:val="24"/>
                <w:szCs w:val="24"/>
                <w:highlight w:val="none"/>
              </w:rPr>
              <w:t xml:space="preserve">进行评审：概述详细，方案考虑周全、切实可行，优于采购需求得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分；概述较为详细，方案考虑较为周全、可操作性，能满足项目实施需要的得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分；方案简单，基本能满足项目实施需要的得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分；没有内容者不得分。</w:t>
            </w:r>
            <w:r/>
          </w:p>
        </w:tc>
      </w:tr>
      <w:tr>
        <w:trPr>
          <w:trHeight w:val="23"/>
        </w:trPr>
        <w:tc>
          <w:tcPr>
            <w:tcW w:w="963" w:type="dxa"/>
            <w:vAlign w:val="center"/>
            <w:vMerge w:val="continue"/>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15" w:name="OLE_LINK44"/>
            <w:r>
              <w:rPr>
                <w:rFonts w:hint="eastAsia" w:ascii="宋体" w:hAnsi="宋体" w:eastAsia="宋体" w:cs="宋体"/>
                <w:color w:val="auto"/>
                <w:sz w:val="24"/>
                <w:szCs w:val="24"/>
                <w:highlight w:val="none"/>
              </w:rPr>
              <w:t xml:space="preserve">培训及技术支持方案</w:t>
            </w:r>
            <w:bookmarkEnd w:id="115"/>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投标人根据招标文件“第四章、采购需求—五、项目实施要求—（</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）培训及技术支持要求”制定培训及技术支持方案，评标委员会根据投标人提供的培训及技术支持方案进行评审：概述详细，方案考虑周全、切实可行，优于采购需求得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分；概述较为详细，方案考虑较为周全、可操作性，能满足项目实施需要的得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分；方案简单，基本能满足项目实施需要的得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分；没有内容者不得分。</w:t>
            </w:r>
            <w:r/>
          </w:p>
        </w:tc>
      </w:tr>
      <w:tr>
        <w:trPr>
          <w:trHeight w:val="23"/>
        </w:trPr>
        <w:tc>
          <w:tcPr>
            <w:tcW w:w="963" w:type="dxa"/>
            <w:vAlign w:val="center"/>
            <w:vMerge w:val="continue"/>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16" w:name="OLE_LINK47"/>
            <w:r>
              <w:rPr>
                <w:rFonts w:hint="eastAsia" w:ascii="宋体" w:hAnsi="宋体" w:eastAsia="宋体" w:cs="宋体"/>
                <w:color w:val="auto"/>
                <w:sz w:val="24"/>
                <w:szCs w:val="24"/>
                <w:highlight w:val="none"/>
              </w:rPr>
              <w:t xml:space="preserve">投标人根据招标文件“第四章、采购需求—</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、售后服务要求”制定售后服务方案，评标委员会根据投标人提供的售后服务方案进行评审：概述详细，方案考虑周全、切实可行，优于采购需求得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分；概述较为详细，方案考虑较为周全、可操作性，能满足项目实施需要的得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分；方案简单，基本能满足项目实施需要的得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分；没有内容者不得分。</w:t>
            </w:r>
            <w:bookmarkEnd w:id="116"/>
            <w:r/>
            <w:r/>
          </w:p>
        </w:tc>
      </w:tr>
    </w:tbl>
    <w:p>
      <w:pPr>
        <w:pStyle w:val="911"/>
        <w:ind w:left="0" w:right="0" w:firstLine="482"/>
        <w:jc w:val="both"/>
        <w:keepLines w:val="0"/>
        <w:keepNext w:val="0"/>
        <w:spacing w:before="0" w:beforeAutospacing="0" w:after="0" w:afterAutospacing="0" w:line="440" w:lineRule="exact"/>
        <w:widowControl w:val="off"/>
        <w:rPr>
          <w:rFonts w:hint="eastAsia" w:ascii="宋体" w:hAnsi="宋体" w:eastAsia="宋体" w:cs="宋体"/>
          <w:b/>
          <w:bCs/>
          <w:color w:val="auto"/>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17" w:name="_Toc81575205"/>
      <w:r/>
      <w:bookmarkEnd w:id="117"/>
      <w:r/>
      <w:r/>
    </w:p>
    <w:p>
      <w:pPr>
        <w:pStyle w:val="911"/>
        <w:ind w:left="0" w:right="0" w:firstLine="482"/>
        <w:jc w:val="both"/>
        <w:keepLines w:val="0"/>
        <w:keepNext w:val="0"/>
        <w:spacing w:before="0" w:beforeAutospacing="0" w:after="0" w:afterAutospacing="0" w:line="440" w:lineRule="exact"/>
        <w:widowControl w:val="off"/>
        <w:rPr>
          <w:rFonts w:hint="eastAsia" w:ascii="宋体" w:hAnsi="宋体" w:cs="宋体"/>
          <w:b/>
          <w:bCs/>
          <w:color w:val="auto"/>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auto"/>
          <w:sz w:val="24"/>
          <w:szCs w:val="24"/>
          <w:highlight w:val="none"/>
          <w:shd w:val="clear" w:color="auto" w:fill="ffffff"/>
          <w:lang w:val="en-US" w:eastAsia="zh-CN"/>
        </w:rPr>
        <w:t xml:space="preserve">采购包2：</w:t>
      </w:r>
      <w:r/>
    </w:p>
    <w:tbl>
      <w:tblPr>
        <w:tblStyle w:val="727"/>
        <w:tblW w:w="8950" w:type="dxa"/>
        <w:tblInd w:w="-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63"/>
        <w:gridCol w:w="1325"/>
        <w:gridCol w:w="1223"/>
        <w:gridCol w:w="5439"/>
      </w:tblGrid>
      <w:tr>
        <w:trPr>
          <w:trHeight w:val="510"/>
        </w:trPr>
        <w:tc>
          <w:tcPr>
            <w:gridSpan w:val="2"/>
            <w:tcW w:w="2288" w:type="dxa"/>
            <w:vAlign w:val="center"/>
            <w:textDirection w:val="lrTb"/>
            <w:noWrap w:val="false"/>
          </w:tcPr>
          <w:p>
            <w:pPr>
              <w:ind w:left="0" w:right="0"/>
              <w:jc w:val="center"/>
              <w:keepLines w:val="0"/>
              <w:keepNext w:val="0"/>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评审因素</w:t>
            </w:r>
            <w:r/>
          </w:p>
        </w:tc>
        <w:tc>
          <w:tcPr>
            <w:tcW w:w="1223" w:type="dxa"/>
            <w:vAlign w:val="center"/>
            <w:textDirection w:val="lrTb"/>
            <w:noWrap w:val="false"/>
          </w:tcPr>
          <w:p>
            <w:pPr>
              <w:ind w:left="0" w:right="0"/>
              <w:jc w:val="center"/>
              <w:keepLines w:val="0"/>
              <w:keepNext w:val="0"/>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分数</w:t>
            </w:r>
            <w:r/>
          </w:p>
        </w:tc>
        <w:tc>
          <w:tcPr>
            <w:tcW w:w="5439" w:type="dxa"/>
            <w:vAlign w:val="center"/>
            <w:textDirection w:val="lrTb"/>
            <w:noWrap w:val="false"/>
          </w:tcPr>
          <w:p>
            <w:pPr>
              <w:ind w:left="0" w:right="0"/>
              <w:jc w:val="center"/>
              <w:keepLines w:val="0"/>
              <w:keepNext w:val="0"/>
              <w:pageBreakBefore w:val="0"/>
              <w:spacing w:beforeAutospacing="0" w:afterAutospacing="0"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评审标准</w:t>
            </w:r>
            <w:r/>
          </w:p>
        </w:tc>
      </w:tr>
      <w:tr>
        <w:trPr>
          <w:trHeight w:val="2160"/>
        </w:trPr>
        <w:tc>
          <w:tcPr>
            <w:tcW w:w="96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报价分</w:t>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采用低价优先法，即满足招标文件要求且投标价格最低的投标报价为评标基准价，其价格为满分30分，其他投标人的价格分别按照下列公式计算：投标报价得分=（评标基准价/投标报价）×30，小数点保留2位。</w:t>
            </w:r>
            <w:r/>
          </w:p>
        </w:tc>
      </w:tr>
      <w:tr>
        <w:trPr>
          <w:trHeight w:val="23"/>
        </w:trPr>
        <w:tc>
          <w:tcPr>
            <w:tcW w:w="963" w:type="dxa"/>
            <w:vAlign w:val="center"/>
            <w:textDirection w:val="lrTb"/>
            <w:noWrap w:val="false"/>
          </w:tcPr>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技术响应</w:t>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技术参数响应</w:t>
            </w:r>
            <w:r/>
          </w:p>
        </w:tc>
        <w:tc>
          <w:tcPr>
            <w:tcW w:w="1223" w:type="dxa"/>
            <w:vAlign w:val="center"/>
            <w:textDirection w:val="lrTb"/>
            <w:noWrap w:val="false"/>
          </w:tcPr>
          <w:p>
            <w:pPr>
              <w:ind w:left="0" w:right="0" w:firstLine="480"/>
              <w:jc w:val="center"/>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51</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numPr>
                <w:ilvl w:val="0"/>
                <w:numId w:val="0"/>
              </w:numPr>
              <w:ind w:left="0" w:right="0" w:firstLine="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针对招标文件“第四部分、采购需求”中的“三、采购清单及技术参数要求”所列内容进行评分，所投产品技术参数完全满足或优于招标文件技术参数要求的得</w:t>
            </w:r>
            <w:r>
              <w:rPr>
                <w:rFonts w:hint="eastAsia" w:ascii="宋体" w:hAnsi="宋体" w:eastAsia="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其中：</w:t>
            </w:r>
            <w:r/>
          </w:p>
          <w:p>
            <w:pPr>
              <w:numPr>
                <w:ilvl w:val="0"/>
                <w:numId w:val="0"/>
              </w:numPr>
              <w:ind w:left="0" w:right="0" w:firstLine="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（1）标注</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共</w:t>
            </w:r>
            <w:r>
              <w:rPr>
                <w:rFonts w:hint="eastAsia" w:ascii="宋体" w:hAnsi="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lang w:val="en-US" w:eastAsia="zh-CN"/>
              </w:rPr>
              <w:t xml:space="preserve">条，计</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为重点参数要求，每有一项不满足的扣</w:t>
            </w:r>
            <w:r>
              <w:rPr>
                <w:rFonts w:hint="eastAsia" w:ascii="宋体" w:hAnsi="宋体" w:cs="宋体"/>
                <w:color w:val="auto"/>
                <w:sz w:val="24"/>
                <w:szCs w:val="24"/>
                <w:highlight w:val="none"/>
                <w:u w:val="single"/>
                <w:lang w:val="en-US" w:eastAsia="zh-CN"/>
              </w:rPr>
              <w:t xml:space="preserve">0.4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扣完为止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标注</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eastAsia="zh-CN"/>
              </w:rPr>
              <w:t xml:space="preserve">按照要求</w:t>
            </w:r>
            <w:r>
              <w:rPr>
                <w:rFonts w:hint="eastAsia" w:ascii="宋体" w:hAnsi="宋体" w:eastAsia="宋体" w:cs="宋体"/>
                <w:color w:val="auto"/>
                <w:sz w:val="24"/>
                <w:szCs w:val="24"/>
                <w:highlight w:val="none"/>
              </w:rPr>
              <w:t xml:space="preserve">在投标文件《技术响应偏离表》中逐条列出响应及偏离情况</w:t>
            </w:r>
            <w:r>
              <w:rPr>
                <w:rFonts w:hint="eastAsia" w:ascii="宋体" w:hAnsi="宋体" w:eastAsia="宋体" w:cs="宋体"/>
                <w:color w:val="auto"/>
                <w:sz w:val="24"/>
                <w:szCs w:val="24"/>
                <w:highlight w:val="none"/>
                <w:lang w:val="en-US" w:eastAsia="zh-CN"/>
              </w:rPr>
              <w:t xml:space="preserve">并按要求</w:t>
            </w:r>
            <w:r>
              <w:rPr>
                <w:rFonts w:hint="eastAsia" w:ascii="宋体" w:hAnsi="宋体" w:eastAsia="宋体" w:cs="宋体"/>
                <w:color w:val="auto"/>
                <w:sz w:val="24"/>
                <w:szCs w:val="24"/>
                <w:highlight w:val="none"/>
                <w:lang w:eastAsia="zh-CN"/>
              </w:rPr>
              <w:t xml:space="preserve">提供证明材料，否则视为负偏离扣分。</w:t>
            </w:r>
            <w:r/>
          </w:p>
          <w:p>
            <w:pPr>
              <w:numPr>
                <w:ilvl w:val="0"/>
                <w:numId w:val="0"/>
              </w:numPr>
              <w:ind w:left="0" w:right="0" w:firstLine="0"/>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标注</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val="en-US" w:eastAsia="zh-CN"/>
              </w:rPr>
              <w:t xml:space="preserve">其他参数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共</w:t>
            </w:r>
            <w:r>
              <w:rPr>
                <w:rFonts w:hint="eastAsia" w:ascii="宋体" w:hAnsi="宋体" w:cs="宋体"/>
                <w:color w:val="auto"/>
                <w:sz w:val="24"/>
                <w:szCs w:val="24"/>
                <w:highlight w:val="none"/>
                <w:u w:val="single"/>
                <w:lang w:val="en-US" w:eastAsia="zh-CN"/>
              </w:rPr>
              <w:t xml:space="preserve">2634</w:t>
            </w:r>
            <w:r>
              <w:rPr>
                <w:rFonts w:hint="eastAsia" w:ascii="宋体" w:hAnsi="宋体" w:eastAsia="宋体" w:cs="宋体"/>
                <w:color w:val="auto"/>
                <w:sz w:val="24"/>
                <w:szCs w:val="24"/>
                <w:highlight w:val="none"/>
                <w:lang w:val="en-US" w:eastAsia="zh-CN"/>
              </w:rPr>
              <w:t xml:space="preserve">条，计</w:t>
            </w:r>
            <w:r>
              <w:rPr>
                <w:rFonts w:hint="eastAsia" w:ascii="宋体" w:hAnsi="宋体" w:cs="宋体"/>
                <w:color w:val="auto"/>
                <w:sz w:val="24"/>
                <w:szCs w:val="24"/>
                <w:highlight w:val="none"/>
                <w:u w:val="single"/>
                <w:lang w:val="en-US" w:eastAsia="zh-CN"/>
              </w:rPr>
              <w:t xml:space="preserve">45</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rPr>
              <w:t xml:space="preserve">参数要求，每有一项不满足的扣</w:t>
            </w:r>
            <w:r>
              <w:rPr>
                <w:rFonts w:hint="eastAsia" w:ascii="宋体" w:hAnsi="宋体" w:cs="宋体"/>
                <w:color w:val="auto"/>
                <w:sz w:val="24"/>
                <w:szCs w:val="24"/>
                <w:highlight w:val="none"/>
                <w:u w:val="single"/>
                <w:lang w:val="en-US" w:eastAsia="zh-CN"/>
              </w:rPr>
              <w:t xml:space="preserve">0.0171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扣完为止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其他参数以《技术响应偏离表》中列出响应及偏离情况为准，未对应列出按负偏离进行扣分，有要求提供佐证资料的按照要求提供，无要求的以《技术响应偏离表》为准。</w:t>
            </w:r>
            <w:r/>
          </w:p>
        </w:tc>
      </w:tr>
      <w:tr>
        <w:trPr>
          <w:trHeight w:val="23"/>
        </w:trPr>
        <w:tc>
          <w:tcPr>
            <w:shd w:val="clear" w:color="auto" w:fill="auto"/>
            <w:tcW w:w="963" w:type="dxa"/>
            <w:vAlign w:val="center"/>
            <w:vMerge w:val="restart"/>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w:t>
            </w:r>
            <w:r>
              <w:rPr>
                <w:rFonts w:hint="eastAsia" w:ascii="宋体" w:hAnsi="宋体" w:cs="宋体"/>
                <w:color w:val="auto"/>
                <w:sz w:val="24"/>
                <w:szCs w:val="24"/>
                <w:highlight w:val="none"/>
                <w:lang w:eastAsia="zh-CN"/>
              </w:rPr>
              <w:t xml:space="preserve">经营</w:t>
            </w:r>
            <w:r>
              <w:rPr>
                <w:rFonts w:hint="eastAsia" w:ascii="宋体" w:hAnsi="宋体" w:eastAsia="宋体" w:cs="宋体"/>
                <w:color w:val="auto"/>
                <w:sz w:val="24"/>
                <w:szCs w:val="24"/>
                <w:highlight w:val="none"/>
              </w:rPr>
              <w:t xml:space="preserve">业绩、信誉</w:t>
            </w:r>
            <w:r/>
          </w:p>
        </w:tc>
        <w:tc>
          <w:tcPr>
            <w:shd w:val="clear" w:color="auto" w:fill="auto"/>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企业业绩</w:t>
            </w:r>
            <w:r/>
          </w:p>
        </w:tc>
        <w:tc>
          <w:tcPr>
            <w:shd w:val="clear" w:color="auto" w:fill="auto"/>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.00分</w:t>
            </w:r>
            <w:r/>
          </w:p>
        </w:tc>
        <w:tc>
          <w:tcPr>
            <w:shd w:val="clear" w:color="auto" w:fill="auto"/>
            <w:tcW w:w="5439" w:type="dxa"/>
            <w:vAlign w:val="center"/>
            <w:textDirection w:val="lrTb"/>
            <w:noWrap w:val="false"/>
          </w:tcPr>
          <w:p>
            <w:pPr>
              <w:ind w:left="0" w:right="0"/>
              <w:jc w:val="left"/>
              <w:keepLines w:val="0"/>
              <w:keepNext w:val="0"/>
              <w:pageBreakBefore w:val="0"/>
              <w:spacing w:beforeAutospacing="0" w:afterAutospacing="0" w:line="44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投标人自2022年1月1日以来（以合同签订时间为准）承接过类似业绩的，每提供一个得1分，本项最高得3分。</w:t>
            </w:r>
            <w:r/>
          </w:p>
          <w:p>
            <w:pPr>
              <w:ind w:left="0" w:right="0"/>
              <w:jc w:val="left"/>
              <w:keepLines w:val="0"/>
              <w:keepNext w:val="0"/>
              <w:pageBreakBefore w:val="0"/>
              <w:spacing w:beforeAutospacing="0" w:afterAutospacing="0" w:line="44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注：</w:t>
            </w:r>
            <w:r/>
          </w:p>
          <w:p>
            <w:pPr>
              <w:ind w:left="0" w:right="0"/>
              <w:jc w:val="left"/>
              <w:keepLines w:val="0"/>
              <w:keepNext w:val="0"/>
              <w:pageBreakBefore w:val="0"/>
              <w:spacing w:beforeAutospacing="0" w:afterAutospacing="0" w:line="440" w:lineRule="exact"/>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1）投标人需提供业绩证明材料至投标文件，证明材料电子扫描件需包含中标（或成交）通知书、合同（或者合同协议书）、采购人履约评价（或者验收合格报告或者验收合格证明），三者缺一不可，未提供或提供不全或模糊不清无法辨认均不予计分。</w:t>
            </w:r>
            <w:r/>
          </w:p>
          <w:p>
            <w:pPr>
              <w:ind w:left="0" w:right="0"/>
              <w:jc w:val="left"/>
              <w:keepLines w:val="0"/>
              <w:keepNext w:val="0"/>
              <w:pageBreakBefore w:val="0"/>
              <w:spacing w:beforeAutospacing="0" w:afterAutospacing="0" w:line="440" w:lineRule="exact"/>
              <w:widowControl w:val="off"/>
              <w:rPr>
                <w:rFonts w:hint="default" w:ascii="宋体" w:hAnsi="宋体" w:eastAsia="宋体" w:cs="宋体"/>
                <w:b/>
                <w:bCs/>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（2）合同甲方履约评价中出现“不满意”或“差”或“不合格”或同等意思表达的，该业绩不得分。</w:t>
            </w:r>
            <w:r/>
          </w:p>
          <w:p>
            <w:pPr>
              <w:ind w:left="0" w:right="0"/>
              <w:jc w:val="left"/>
              <w:keepLines w:val="0"/>
              <w:keepNext w:val="0"/>
              <w:pageBreakBefore w:val="0"/>
              <w:spacing w:beforeAutospacing="0" w:afterAutospacing="0" w:line="440" w:lineRule="exact"/>
              <w:widowControl w:val="off"/>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 xml:space="preserve">（3）投标人提供的企业业绩将随中标结果公告同步公开。</w:t>
            </w:r>
            <w:r/>
          </w:p>
        </w:tc>
      </w:tr>
      <w:tr>
        <w:trPr>
          <w:trHeight w:val="5061"/>
        </w:trPr>
        <w:tc>
          <w:tcPr>
            <w:tcW w:w="963" w:type="dxa"/>
            <w:vAlign w:val="center"/>
            <w:vMerge w:val="continue"/>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环境标志、节能产品</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1、投标产品在财政部、生态环境部公布的“环境标志产品政府采购品目清单”内，且投标文件中提供国家市场监督管理局确定的列入“参与实施政府采购环境标志产品认证机构名录 ” 内的认证机构出具的、有效期内的该产品环境标志产品认证证书电子件的得0.5分。未提供的不得分。</w:t>
            </w:r>
            <w:r/>
          </w:p>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得0.5分。未提供的不得分。</w:t>
            </w:r>
            <w:r/>
          </w:p>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人提供的节能环保</w:t>
            </w:r>
            <w:r>
              <w:rPr>
                <w:rFonts w:hint="eastAsia" w:ascii="宋体" w:hAnsi="宋体" w:eastAsia="宋体" w:cs="宋体"/>
                <w:b/>
                <w:bCs/>
                <w:color w:val="auto"/>
                <w:sz w:val="24"/>
                <w:szCs w:val="24"/>
                <w:highlight w:val="none"/>
                <w:lang w:val="en-US" w:eastAsia="zh-CN"/>
              </w:rPr>
              <w:t xml:space="preserve">证书</w:t>
            </w:r>
            <w:r>
              <w:rPr>
                <w:rFonts w:hint="eastAsia" w:ascii="宋体" w:hAnsi="宋体" w:eastAsia="宋体" w:cs="宋体"/>
                <w:b/>
                <w:bCs/>
                <w:color w:val="auto"/>
                <w:sz w:val="24"/>
                <w:szCs w:val="24"/>
                <w:highlight w:val="none"/>
              </w:rPr>
              <w:t xml:space="preserve">将随中标结果同步公开。</w:t>
            </w:r>
            <w:r/>
          </w:p>
        </w:tc>
      </w:tr>
      <w:tr>
        <w:trPr>
          <w:trHeight w:val="23"/>
        </w:trPr>
        <w:tc>
          <w:tcPr>
            <w:tcW w:w="96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项目组成员</w:t>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项目组成员</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.00分</w:t>
            </w:r>
            <w:r/>
          </w:p>
        </w:tc>
        <w:tc>
          <w:tcPr>
            <w:tcW w:w="5439" w:type="dxa"/>
            <w:vAlign w:val="center"/>
            <w:textDirection w:val="lrTb"/>
            <w:noWrap w:val="false"/>
          </w:tcPr>
          <w:p>
            <w:pPr>
              <w:numPr>
                <w:ilvl w:val="0"/>
                <w:numId w:val="0"/>
              </w:numPr>
              <w:ind w:left="0" w:right="0"/>
              <w:jc w:val="left"/>
              <w:spacing w:beforeAutospacing="0" w:afterAutospacing="0" w:line="44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项目负责人具有</w:t>
            </w:r>
            <w:r>
              <w:rPr>
                <w:rFonts w:hint="eastAsia" w:ascii="宋体" w:hAnsi="宋体" w:cs="宋体"/>
                <w:color w:val="auto"/>
                <w:sz w:val="24"/>
                <w:szCs w:val="24"/>
                <w:highlight w:val="none"/>
                <w:lang w:val="en-US" w:eastAsia="zh-CN"/>
              </w:rPr>
              <w:t xml:space="preserve">信息系统项目管理师证书</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numPr>
                <w:ilvl w:val="0"/>
                <w:numId w:val="0"/>
              </w:numPr>
              <w:ind w:left="0" w:right="0"/>
              <w:jc w:val="left"/>
              <w:spacing w:beforeAutospacing="0" w:afterAutospacing="0" w:line="44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2、项目组成员具有网络工程师或信息系统项目管理</w:t>
            </w:r>
            <w:r>
              <w:rPr>
                <w:rFonts w:hint="eastAsia" w:ascii="宋体" w:hAnsi="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lang w:val="en-US" w:eastAsia="zh-CN"/>
              </w:rPr>
              <w:t xml:space="preserve">师</w:t>
            </w:r>
            <w:r>
              <w:rPr>
                <w:rFonts w:hint="eastAsia" w:ascii="宋体" w:hAnsi="宋体" w:cs="宋体"/>
                <w:color w:val="auto"/>
                <w:sz w:val="24"/>
                <w:szCs w:val="24"/>
                <w:highlight w:val="none"/>
                <w:lang w:val="en-US" w:eastAsia="zh-CN"/>
              </w:rPr>
              <w:t xml:space="preserve">或系统集成项目管理工程师证书</w:t>
            </w:r>
            <w:r>
              <w:rPr>
                <w:rFonts w:hint="eastAsia" w:ascii="宋体" w:hAnsi="宋体" w:eastAsia="宋体" w:cs="宋体"/>
                <w:color w:val="auto"/>
                <w:sz w:val="24"/>
                <w:szCs w:val="24"/>
                <w:highlight w:val="none"/>
                <w:lang w:val="en-US" w:eastAsia="zh-CN"/>
              </w:rPr>
              <w:t xml:space="preserve">，每有1个得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分，最高得1分。</w:t>
            </w:r>
            <w:r/>
          </w:p>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注：（1）上述项目组成员必须为本单位员工，需提供</w:t>
            </w:r>
            <w:r>
              <w:rPr>
                <w:rFonts w:hint="eastAsia" w:ascii="宋体" w:hAnsi="宋体" w:cs="宋体"/>
                <w:color w:val="auto"/>
                <w:sz w:val="24"/>
                <w:szCs w:val="24"/>
                <w:highlight w:val="none"/>
                <w:lang w:val="en-US" w:eastAsia="zh-CN"/>
              </w:rPr>
              <w:t xml:space="preserve">2025年6月1日</w:t>
            </w:r>
            <w:r>
              <w:rPr>
                <w:rFonts w:hint="eastAsia" w:ascii="宋体" w:hAnsi="宋体" w:eastAsia="宋体" w:cs="宋体"/>
                <w:color w:val="auto"/>
                <w:sz w:val="24"/>
                <w:szCs w:val="24"/>
                <w:highlight w:val="none"/>
                <w:lang w:val="en-US" w:eastAsia="zh-CN"/>
              </w:rPr>
              <w:t xml:space="preserve">以来</w:t>
            </w:r>
            <w:r>
              <w:rPr>
                <w:rFonts w:hint="eastAsia" w:ascii="宋体" w:hAnsi="宋体" w:cs="宋体"/>
                <w:color w:val="auto"/>
                <w:sz w:val="24"/>
                <w:szCs w:val="24"/>
                <w:highlight w:val="none"/>
                <w:lang w:val="en-US" w:eastAsia="zh-CN"/>
              </w:rPr>
              <w:t xml:space="preserve">任意一个月</w:t>
            </w:r>
            <w:r>
              <w:rPr>
                <w:rFonts w:hint="eastAsia" w:ascii="宋体" w:hAnsi="宋体" w:eastAsia="宋体" w:cs="宋体"/>
                <w:color w:val="auto"/>
                <w:sz w:val="24"/>
                <w:szCs w:val="24"/>
                <w:highlight w:val="none"/>
              </w:rPr>
              <w:t xml:space="preserve">社保部门出具的投标人为其缴纳社会养老保险证明材料，否则不得分。</w:t>
            </w:r>
            <w:r/>
          </w:p>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（2）以上项目组成员中同一人员具备上述多种证书的，不重复计分；同一证书多人具备的，不重复计分。</w:t>
            </w:r>
            <w:r/>
          </w:p>
          <w:p>
            <w:pPr>
              <w:numPr>
                <w:ilvl w:val="0"/>
                <w:numId w:val="0"/>
              </w:numPr>
              <w:ind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cs="宋体"/>
                <w:b/>
                <w:bCs/>
                <w:strike w:val="0"/>
                <w:color w:val="auto"/>
                <w:sz w:val="24"/>
                <w:szCs w:val="24"/>
                <w:highlight w:val="none"/>
                <w:lang w:val="en-US" w:eastAsia="zh-CN"/>
              </w:rPr>
              <w:t xml:space="preserve">（3）投标人提供的项目组人员证书将随中标结果同步公开。</w:t>
            </w:r>
            <w:r/>
          </w:p>
        </w:tc>
      </w:tr>
      <w:tr>
        <w:trPr>
          <w:trHeight w:val="23"/>
        </w:trPr>
        <w:tc>
          <w:tcPr>
            <w:tcW w:w="963" w:type="dxa"/>
            <w:vAlign w:val="center"/>
            <w:vMerge w:val="restart"/>
            <w:textDirection w:val="lrTb"/>
            <w:noWrap w:val="false"/>
          </w:tcPr>
          <w:p>
            <w:pPr>
              <w:ind w:left="0" w:right="0"/>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项目实施</w:t>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质量保障方案</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投标人根据招标文件“第四章、采购需求—</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、项目实施要求（一）</w:t>
            </w:r>
            <w:r>
              <w:rPr>
                <w:rFonts w:hint="eastAsia" w:ascii="宋体" w:hAnsi="宋体" w:eastAsia="宋体" w:cs="宋体"/>
                <w:color w:val="auto"/>
                <w:sz w:val="24"/>
                <w:szCs w:val="24"/>
                <w:highlight w:val="none"/>
                <w:lang w:val="en-US" w:eastAsia="zh-CN"/>
              </w:rPr>
              <w:t xml:space="preserve">质量保障要求</w:t>
            </w:r>
            <w:r>
              <w:rPr>
                <w:rFonts w:hint="eastAsia" w:ascii="宋体" w:hAnsi="宋体" w:eastAsia="宋体" w:cs="宋体"/>
                <w:color w:val="auto"/>
                <w:sz w:val="24"/>
                <w:szCs w:val="24"/>
                <w:highlight w:val="none"/>
              </w:rPr>
              <w:t xml:space="preserve">”制定</w:t>
            </w:r>
            <w:r>
              <w:rPr>
                <w:rFonts w:hint="eastAsia" w:ascii="宋体" w:hAnsi="宋体" w:eastAsia="宋体" w:cs="宋体"/>
                <w:color w:val="auto"/>
                <w:sz w:val="24"/>
                <w:szCs w:val="24"/>
                <w:highlight w:val="none"/>
                <w:lang w:val="en-US" w:eastAsia="zh-CN"/>
              </w:rPr>
              <w:t xml:space="preserve">质量保障方案</w:t>
            </w:r>
            <w:r>
              <w:rPr>
                <w:rFonts w:hint="eastAsia" w:ascii="宋体" w:hAnsi="宋体" w:eastAsia="宋体" w:cs="宋体"/>
                <w:color w:val="auto"/>
                <w:sz w:val="24"/>
                <w:szCs w:val="24"/>
                <w:highlight w:val="none"/>
              </w:rPr>
              <w:t xml:space="preserve">，评标委员会根据投标人提供的</w:t>
            </w:r>
            <w:r>
              <w:rPr>
                <w:rFonts w:hint="eastAsia" w:ascii="宋体" w:hAnsi="宋体" w:eastAsia="宋体" w:cs="宋体"/>
                <w:color w:val="auto"/>
                <w:sz w:val="24"/>
                <w:szCs w:val="24"/>
                <w:highlight w:val="none"/>
                <w:lang w:val="en-US" w:eastAsia="zh-CN"/>
              </w:rPr>
              <w:t xml:space="preserve">质量保障方案</w:t>
            </w:r>
            <w:r>
              <w:rPr>
                <w:rFonts w:hint="eastAsia" w:ascii="宋体" w:hAnsi="宋体" w:eastAsia="宋体" w:cs="宋体"/>
                <w:color w:val="auto"/>
                <w:sz w:val="24"/>
                <w:szCs w:val="24"/>
                <w:highlight w:val="none"/>
              </w:rPr>
              <w:t xml:space="preserve">进行评审：概述详细，方案考虑周全、切实可行，优于采购需求得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分；概述较为详细，方案考虑较为周全、可操作性，能满足项目实施需要的得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分；方案简单，基本能满足项目实施需要的得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分；没有内容者不得分。</w:t>
            </w:r>
            <w:r/>
          </w:p>
        </w:tc>
      </w:tr>
      <w:tr>
        <w:trPr>
          <w:trHeight w:val="23"/>
        </w:trPr>
        <w:tc>
          <w:tcPr>
            <w:tcW w:w="963" w:type="dxa"/>
            <w:vAlign w:val="center"/>
            <w:vMerge w:val="continue"/>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培训及技术支持方案</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投标人根据招标文件“第四章、采购需求—五、项目实施要求—（</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）培训及技术支持要求”制定培训及技术支持方案，评标委员会根据投标人提供的培训及技术支持方案进行评审：概述详细，方案考虑周全、切实可行，优于采购需求得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分；概述较为详细，方案考虑较为周全、可操作性，能满足项目实施需要的得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分；方案简单，基本能满足项目实施需要的得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分；没有内容者不得分。</w:t>
            </w:r>
            <w:r/>
          </w:p>
        </w:tc>
      </w:tr>
      <w:tr>
        <w:trPr>
          <w:trHeight w:val="23"/>
        </w:trPr>
        <w:tc>
          <w:tcPr>
            <w:tcW w:w="963" w:type="dxa"/>
            <w:vAlign w:val="center"/>
            <w:vMerge w:val="continue"/>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5"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p>
        </w:tc>
        <w:tc>
          <w:tcPr>
            <w:tcW w:w="1223" w:type="dxa"/>
            <w:vAlign w:val="center"/>
            <w:textDirection w:val="lrTb"/>
            <w:noWrap w:val="false"/>
          </w:tcPr>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.00分</w:t>
            </w:r>
            <w:r/>
          </w:p>
        </w:tc>
        <w:tc>
          <w:tcPr>
            <w:tcW w:w="5439" w:type="dxa"/>
            <w:vAlign w:val="center"/>
            <w:textDirection w:val="lrTb"/>
            <w:noWrap w:val="false"/>
          </w:tcPr>
          <w:p>
            <w:pPr>
              <w:ind w:left="0" w:right="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投标人根据招标文件“第四章、采购需求—</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、售后服务要求”制定售后服务方案，评标委员会根据投标人提供的售后服务方案进行评审：概述详细，方案考虑周全、切实可行，优于采购需求得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分；概述较为详细，方案考虑较为周全、可操作性，能满足项目实施需要的得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分；方案简单，基本能满足项目实施需要的得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分；没有内容者不得分。</w:t>
            </w:r>
            <w:r/>
          </w:p>
        </w:tc>
      </w:tr>
    </w:tbl>
    <w:p>
      <w:pPr>
        <w:pStyle w:val="911"/>
        <w:ind w:left="0" w:right="0" w:firstLine="482"/>
        <w:jc w:val="both"/>
        <w:keepLines w:val="0"/>
        <w:keepNext w:val="0"/>
        <w:spacing w:before="0" w:beforeAutospacing="0" w:after="0" w:afterAutospacing="0" w:line="440" w:lineRule="exact"/>
        <w:widowControl w:val="off"/>
        <w:rPr>
          <w:rFonts w:hint="default" w:ascii="宋体" w:hAnsi="宋体" w:cs="宋体"/>
          <w:b/>
          <w:bCs/>
          <w:color w:val="auto"/>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宋体" w:hAnsi="宋体" w:cs="宋体"/>
          <w:b/>
          <w:bCs/>
          <w:color w:val="auto"/>
          <w:sz w:val="24"/>
          <w:szCs w:val="24"/>
          <w:highlight w:val="none"/>
          <w:shd w:val="clear" w:color="auto" w:fill="ffffff"/>
          <w:lang w:val="en-US" w:eastAsia="zh-CN"/>
        </w:rPr>
      </w:r>
      <w:r/>
    </w:p>
    <w:p>
      <w:pPr>
        <w:pStyle w:val="911"/>
        <w:ind w:left="0" w:right="0" w:firstLine="482"/>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shd w:val="clear" w:color="auto" w:fill="ffffff"/>
        </w:rPr>
        <w:t xml:space="preserve">（三）评标结果。</w:t>
      </w:r>
      <w:r>
        <w:rPr>
          <w:rFonts w:hint="eastAsia" w:ascii="宋体" w:hAnsi="宋体" w:eastAsia="宋体" w:cs="宋体"/>
          <w:color w:val="auto"/>
          <w:sz w:val="24"/>
          <w:szCs w:val="24"/>
          <w:highlight w:val="none"/>
          <w:shd w:val="clear" w:color="auto" w:fill="ffffff"/>
        </w:rPr>
        <w:t xml:space="preserve">评标委员会按照本办法规定推荐中标候选人，并形成评标报告。</w:t>
      </w:r>
      <w:r/>
    </w:p>
    <w:p>
      <w:pPr>
        <w:pStyle w:val="91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bookmarkStart w:id="118" w:name="EB7816f6fdbc96408ea7b735c177a21493"/>
      <w:r/>
      <w:bookmarkStart w:id="119" w:name="_Toc9629"/>
      <w:r/>
      <w:r/>
    </w:p>
    <w:p>
      <w:pPr>
        <w:pStyle w:val="911"/>
        <w:ind w:left="0" w:right="0"/>
        <w:jc w:val="both"/>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91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91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bCs/>
          <w:color w:val="auto"/>
          <w:sz w:val="24"/>
          <w:szCs w:val="24"/>
          <w:highlight w:val="none"/>
          <w:shd w:val="clear" w:color="auto" w:fill="ffffff"/>
        </w:rPr>
      </w:r>
      <w:r/>
    </w:p>
    <w:p>
      <w:pPr>
        <w:pStyle w:val="911"/>
        <w:ind w:right="0"/>
        <w:jc w:val="center"/>
        <w:spacing w:before="0" w:beforeAutospacing="0" w:after="0" w:afterAutospacing="0" w:line="440" w:lineRule="exact"/>
        <w:rPr>
          <w:rFonts w:hint="eastAsia" w:ascii="宋体" w:hAnsi="宋体" w:eastAsia="宋体" w:cs="宋体"/>
          <w:b/>
          <w:bCs/>
          <w:color w:val="auto"/>
          <w:sz w:val="36"/>
          <w:szCs w:val="36"/>
          <w:highlight w:val="none"/>
          <w:shd w:val="clear" w:color="auto" w:fill="ffffff"/>
        </w:rPr>
      </w:pPr>
      <w:r>
        <w:rPr>
          <w:rFonts w:hint="eastAsia" w:ascii="宋体" w:hAnsi="宋体" w:eastAsia="宋体" w:cs="宋体"/>
          <w:b/>
          <w:bCs/>
          <w:color w:val="auto"/>
          <w:sz w:val="36"/>
          <w:szCs w:val="36"/>
          <w:highlight w:val="none"/>
          <w:shd w:val="clear" w:color="auto" w:fill="ffffff"/>
        </w:rPr>
        <w:t xml:space="preserve">第四部分  采购需求</w:t>
      </w:r>
      <w:bookmarkEnd w:id="118"/>
      <w:r/>
      <w:bookmarkEnd w:id="119"/>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项目属性：货物类项目</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本项目采购标的对应的中小企业划分标准所属行业：</w:t>
      </w:r>
      <w:r/>
    </w:p>
    <w:p>
      <w:pPr>
        <w:ind w:left="0" w:right="0"/>
        <w:spacing w:beforeAutospacing="0" w:afterAutospacing="0" w:line="440" w:lineRule="exact"/>
        <w:rPr>
          <w:rFonts w:hint="eastAsia" w:ascii="宋体" w:hAnsi="宋体" w:cs="宋体"/>
          <w:color w:val="auto"/>
          <w:sz w:val="24"/>
          <w:szCs w:val="24"/>
          <w:highlight w:val="none"/>
          <w:u w:val="none"/>
          <w:lang w:eastAsia="zh-CN"/>
        </w:rPr>
      </w:pPr>
      <w:r>
        <w:rPr>
          <w:rFonts w:hint="eastAsia" w:ascii="宋体" w:hAnsi="宋体" w:cs="宋体"/>
          <w:color w:val="auto"/>
          <w:sz w:val="24"/>
          <w:szCs w:val="24"/>
          <w:highlight w:val="none"/>
          <w:lang w:val="en-US" w:eastAsia="zh-CN"/>
        </w:rPr>
        <w:t xml:space="preserve">采购包1：</w:t>
      </w:r>
      <w:r>
        <w:rPr>
          <w:rFonts w:hint="eastAsia" w:ascii="宋体" w:hAnsi="宋体" w:eastAsia="宋体" w:cs="宋体"/>
          <w:color w:val="auto"/>
          <w:sz w:val="24"/>
          <w:szCs w:val="24"/>
          <w:highlight w:val="none"/>
          <w:u w:val="none"/>
        </w:rPr>
        <w:t xml:space="preserve"> 工业</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val="en-US" w:eastAsia="zh-CN"/>
        </w:rPr>
        <w:t xml:space="preserve">制造业</w:t>
      </w:r>
      <w:r>
        <w:rPr>
          <w:rFonts w:hint="eastAsia" w:ascii="宋体" w:hAnsi="宋体" w:cs="宋体"/>
          <w:color w:val="auto"/>
          <w:sz w:val="24"/>
          <w:szCs w:val="24"/>
          <w:highlight w:val="none"/>
          <w:u w:val="none"/>
          <w:lang w:eastAsia="zh-CN"/>
        </w:rPr>
        <w:t xml:space="preserve">）</w:t>
      </w:r>
      <w:r/>
    </w:p>
    <w:p>
      <w:pPr>
        <w:ind w:left="0" w:right="0"/>
        <w:spacing w:beforeAutospacing="0" w:afterAutospacing="0" w:line="440" w:lineRule="exact"/>
        <w:rPr>
          <w:rFonts w:hint="default"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 xml:space="preserve">采购包2： </w:t>
      </w:r>
      <w:r>
        <w:rPr>
          <w:rFonts w:hint="eastAsia" w:ascii="宋体" w:hAnsi="宋体" w:eastAsia="宋体" w:cs="宋体"/>
          <w:color w:val="auto"/>
          <w:sz w:val="24"/>
          <w:szCs w:val="24"/>
          <w:highlight w:val="none"/>
          <w:u w:val="none"/>
        </w:rPr>
        <w:t xml:space="preserve">工业</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val="en-US" w:eastAsia="zh-CN"/>
        </w:rPr>
        <w:t xml:space="preserve">制造业</w:t>
      </w:r>
      <w:r>
        <w:rPr>
          <w:rFonts w:hint="eastAsia" w:ascii="宋体" w:hAnsi="宋体" w:cs="宋体"/>
          <w:color w:val="auto"/>
          <w:sz w:val="24"/>
          <w:szCs w:val="24"/>
          <w:highlight w:val="none"/>
          <w:u w:val="none"/>
          <w:lang w:eastAsia="zh-CN"/>
        </w:rPr>
        <w:t xml:space="preserve">）</w:t>
      </w:r>
      <w:r/>
    </w:p>
    <w:p>
      <w:pPr>
        <w:ind w:left="0" w:right="0"/>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本项目不接受进口产品</w:t>
      </w:r>
      <w:r>
        <w:rPr>
          <w:rFonts w:hint="eastAsia" w:ascii="宋体" w:hAnsi="宋体" w:eastAsia="宋体" w:cs="宋体"/>
          <w:color w:val="auto"/>
          <w:sz w:val="24"/>
          <w:szCs w:val="24"/>
          <w:highlight w:val="none"/>
          <w:lang w:eastAsia="zh-CN"/>
        </w:rPr>
        <w:t xml:space="preserve">。</w:t>
      </w:r>
      <w:r/>
    </w:p>
    <w:p>
      <w:pPr>
        <w:ind w:left="0" w:right="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一、项目概况</w:t>
      </w:r>
      <w:r/>
    </w:p>
    <w:p>
      <w:pPr>
        <w:pStyle w:val="934"/>
        <w:ind w:left="0" w:right="0" w:firstLine="560"/>
        <w:spacing w:beforeAutospacing="0" w:afterAutospacing="0" w:line="440" w:lineRule="exact"/>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泗洪姜堰实验学校初中部功能室、实验室采购项目</w:t>
      </w:r>
      <w:r/>
    </w:p>
    <w:p>
      <w:pPr>
        <w:pStyle w:val="934"/>
        <w:ind w:left="0" w:right="0" w:firstLine="560"/>
        <w:spacing w:beforeAutospacing="0" w:afterAutospacing="0" w:line="440" w:lineRule="exact"/>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2、主要内容为：</w:t>
      </w:r>
      <w:r/>
    </w:p>
    <w:p>
      <w:pPr>
        <w:pStyle w:val="911"/>
        <w:ind w:left="0" w:right="0" w:firstLine="480"/>
        <w:jc w:val="both"/>
        <w:spacing w:before="0" w:beforeAutospacing="0" w:after="0" w:afterAutospacing="0"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采购包1：理化生智能吊装实验室、数字化探究实验室、考评实验室等，详见采购需求和采购包1清单。</w:t>
      </w:r>
      <w:r/>
    </w:p>
    <w:p>
      <w:pPr>
        <w:pStyle w:val="911"/>
        <w:ind w:left="0" w:right="0" w:firstLine="480"/>
        <w:jc w:val="both"/>
        <w:spacing w:before="0" w:beforeAutospacing="0" w:after="0" w:afterAutospacing="0"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采购包2：历史地理教室、劳技教室、舞蹈教室、书法教室、美术教室等，详见采购需求和采购包2清单。</w:t>
      </w:r>
      <w:r/>
    </w:p>
    <w:p>
      <w:pPr>
        <w:pStyle w:val="934"/>
        <w:ind w:left="0" w:right="0" w:firstLine="560"/>
        <w:spacing w:beforeAutospacing="0" w:afterAutospacing="0" w:line="440" w:lineRule="exact"/>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3、供货地点：采购人指定地点。</w:t>
      </w:r>
      <w:r/>
    </w:p>
    <w:p>
      <w:pPr>
        <w:pStyle w:val="934"/>
        <w:ind w:left="0" w:right="0" w:firstLine="560"/>
        <w:spacing w:beforeAutospacing="0" w:afterAutospacing="0" w:line="440" w:lineRule="exact"/>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4、供货期：采购合同签订后</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日历天内全部供货安装完毕并交付使用。</w:t>
      </w:r>
      <w:r/>
    </w:p>
    <w:p>
      <w:pPr>
        <w:pStyle w:val="934"/>
        <w:ind w:left="0" w:right="0" w:firstLine="560"/>
        <w:spacing w:beforeAutospacing="0" w:afterAutospacing="0" w:line="440" w:lineRule="exact"/>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5、售后服务期：</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如产品清单中有特殊要求的按清单执行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934"/>
        <w:ind w:left="0" w:right="0" w:firstLine="560"/>
        <w:spacing w:beforeAutospacing="0" w:afterAutospacing="0" w:line="440" w:lineRule="exact"/>
        <w:tabs>
          <w:tab w:val="left" w:pos="753"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质量：合格，符合国家、行业质量要求。</w:t>
      </w:r>
      <w:r>
        <w:rPr>
          <w:rFonts w:hint="eastAsia" w:ascii="宋体" w:hAnsi="宋体" w:cs="宋体"/>
          <w:color w:val="auto"/>
          <w:sz w:val="24"/>
          <w:szCs w:val="24"/>
          <w:highlight w:val="none"/>
          <w:lang w:val="en-US" w:eastAsia="zh-CN"/>
        </w:rPr>
        <w:t xml:space="preserve">有最新标准的参照最新标准执行。</w:t>
      </w:r>
      <w:r/>
    </w:p>
    <w:p>
      <w:pPr>
        <w:pStyle w:val="730"/>
        <w:ind w:left="0" w:right="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二、付款方式</w:t>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采购合同签订后，收到</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发票10个工作日内预付合同价款的30%；设备全部安装调试完毕</w:t>
      </w:r>
      <w:r>
        <w:rPr>
          <w:rFonts w:hint="eastAsia" w:ascii="宋体" w:hAnsi="宋体" w:cs="宋体"/>
          <w:color w:val="auto"/>
          <w:sz w:val="24"/>
          <w:szCs w:val="24"/>
          <w:highlight w:val="none"/>
          <w:lang w:val="en-US" w:eastAsia="zh-CN"/>
        </w:rPr>
        <w:t xml:space="preserve">交付使用</w:t>
      </w:r>
      <w:r>
        <w:rPr>
          <w:rFonts w:hint="eastAsia" w:ascii="宋体" w:hAnsi="宋体" w:eastAsia="宋体" w:cs="宋体"/>
          <w:color w:val="auto"/>
          <w:sz w:val="24"/>
          <w:szCs w:val="24"/>
          <w:highlight w:val="none"/>
        </w:rPr>
        <w:t xml:space="preserve">后，采购人组织验收并出具验收报告，在收到</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发票后10个工作日内支付至合同总额的100%。</w:t>
      </w:r>
      <w:r/>
    </w:p>
    <w:p>
      <w:pPr>
        <w:pStyle w:val="935"/>
        <w:ind w:left="0" w:right="0" w:firstLine="480"/>
        <w:jc w:val="left"/>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可以使用数字人民币支付。</w:t>
      </w:r>
      <w:r/>
    </w:p>
    <w:p>
      <w:pPr>
        <w:pStyle w:val="936"/>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注：在签订合同时，</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明确表示无需预付款或者主动要求降低预付款比例的，采购人可不适用预付规定。</w:t>
      </w:r>
      <w:r/>
    </w:p>
    <w:p>
      <w:pPr>
        <w:pStyle w:val="730"/>
        <w:ind w:left="0" w:right="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采购清单及技术参数要求</w:t>
      </w:r>
      <w:r/>
    </w:p>
    <w:p>
      <w:pPr>
        <w:numPr>
          <w:ilvl w:val="0"/>
          <w:numId w:val="2"/>
        </w:num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采购清单及技术参数要求</w:t>
      </w:r>
      <w:r/>
    </w:p>
    <w:p>
      <w:pPr>
        <w:numPr>
          <w:ilvl w:val="0"/>
          <w:numId w:val="0"/>
        </w:numPr>
        <w:ind w:right="0"/>
        <w:jc w:val="both"/>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2"/>
        </w:numPr>
        <w:ind w:left="0" w:right="0"/>
        <w:keepLines w:val="0"/>
        <w:keepNext w:val="0"/>
        <w:pageBreakBefore w:val="0"/>
        <w:spacing w:beforeAutospacing="0" w:afterAutospacing="0" w:line="400" w:lineRule="exact"/>
        <w:rPr>
          <w:rFonts w:hint="eastAsia" w:ascii="宋体" w:hAnsi="宋体" w:eastAsia="宋体" w:cs="宋体"/>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1"/>
          <w:szCs w:val="21"/>
          <w:highlight w:val="none"/>
        </w:rPr>
      </w:r>
      <w:r/>
    </w:p>
    <w:tbl>
      <w:tblPr>
        <w:tblStyle w:val="727"/>
        <w:tblpPr w:horzAnchor="page" w:tblpX="1140" w:vertAnchor="text" w:tblpY="303" w:leftFromText="180" w:topFromText="0" w:rightFromText="180" w:bottomFromText="0"/>
        <w:tblW w:w="552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22"/>
        <w:gridCol w:w="4281"/>
        <w:gridCol w:w="1557"/>
        <w:gridCol w:w="1256"/>
        <w:gridCol w:w="1596"/>
      </w:tblGrid>
      <w:tr>
        <w:trPr>
          <w:trHeight w:val="877" w:hRule="exact"/>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泗洪姜堰实验学校初中部功能室、实验室采购项目采购包1</w:t>
            </w:r>
            <w:r>
              <w:rPr>
                <w:rFonts w:hint="eastAsia" w:ascii="宋体" w:hAnsi="宋体" w:eastAsia="宋体" w:cs="宋体"/>
                <w:b/>
                <w:bCs/>
                <w:i w:val="0"/>
                <w:iCs w:val="0"/>
                <w:color w:val="auto"/>
                <w:sz w:val="21"/>
                <w:szCs w:val="21"/>
                <w:u w:val="none"/>
                <w:lang w:val="en-US" w:eastAsia="zh-CN" w:bidi="ar"/>
              </w:rPr>
              <w:br/>
            </w:r>
            <w:r>
              <w:rPr>
                <w:rFonts w:hint="eastAsia" w:ascii="宋体" w:hAnsi="宋体" w:eastAsia="宋体" w:cs="宋体"/>
                <w:b/>
                <w:bCs/>
                <w:i w:val="0"/>
                <w:iCs w:val="0"/>
                <w:color w:val="auto"/>
                <w:sz w:val="21"/>
                <w:szCs w:val="21"/>
                <w:u w:val="none"/>
                <w:lang w:val="en-US" w:eastAsia="zh-CN" w:bidi="ar"/>
              </w:rPr>
              <w:t xml:space="preserve">采购清单明细表及技术参数要求</w:t>
            </w:r>
            <w:r/>
          </w:p>
        </w:tc>
      </w:tr>
      <w:tr>
        <w:trPr>
          <w:trHeight w:val="567" w:hRule="exact"/>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274" w:type="pct"/>
            <w:vAlign w:val="center"/>
            <w:textDirection w:val="lrTb"/>
            <w:noWrap/>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功能室科目名称</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备注</w:t>
            </w:r>
            <w:r/>
          </w:p>
        </w:tc>
      </w:tr>
      <w:tr>
        <w:trPr>
          <w:trHeight w:val="836" w:hRule="exact"/>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non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A-化学智能吊装实验室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一层2间；二层1间</w:t>
            </w:r>
            <w:r/>
          </w:p>
        </w:tc>
      </w:tr>
      <w:tr>
        <w:trPr>
          <w:trHeight w:val="567" w:hRule="exact"/>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B-化学数字化探究</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C-化学考评实验室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二层1间</w:t>
            </w:r>
            <w:r/>
          </w:p>
        </w:tc>
      </w:tr>
      <w:tr>
        <w:trPr>
          <w:trHeight w:val="665" w:hRule="exact"/>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D-物理智能吊装实验室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三层2间；四层1间</w:t>
            </w:r>
            <w:r/>
          </w:p>
        </w:tc>
      </w:tr>
      <w:tr>
        <w:trPr>
          <w:trHeight w:val="567" w:hRule="exact"/>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E-物理数字化探究</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F-理化生虚拟仿真VR创新实验室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四层1间</w:t>
            </w:r>
            <w:r/>
          </w:p>
        </w:tc>
      </w:tr>
      <w:tr>
        <w:trPr>
          <w:trHeight w:val="567" w:hRule="exact"/>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G-物理考评实验室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二层</w:t>
            </w:r>
            <w:r/>
          </w:p>
        </w:tc>
      </w:tr>
      <w:tr>
        <w:trPr>
          <w:trHeight w:val="567" w:hRule="exact"/>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H-生物智能吊装实验室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五层</w:t>
            </w:r>
            <w:r/>
          </w:p>
        </w:tc>
      </w:tr>
      <w:tr>
        <w:trPr>
          <w:trHeight w:val="567" w:hRule="exact"/>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I-生物数字化探究</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32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J-生物考评实验室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五层</w:t>
            </w:r>
            <w:r/>
          </w:p>
        </w:tc>
      </w:tr>
      <w:tr>
        <w:trPr>
          <w:trHeight w:val="567" w:hRule="exact"/>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K-智慧实验室校级管理平台</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二层</w:t>
            </w:r>
            <w:r/>
          </w:p>
        </w:tc>
      </w:tr>
      <w:tr>
        <w:trPr>
          <w:trHeight w:val="567" w:hRule="exact"/>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L-化学准备室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二层</w:t>
            </w:r>
            <w:r/>
          </w:p>
        </w:tc>
      </w:tr>
      <w:tr>
        <w:trPr>
          <w:trHeight w:val="567" w:hRule="exact"/>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M-智能药品室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一层</w:t>
            </w:r>
            <w:r/>
          </w:p>
        </w:tc>
      </w:tr>
      <w:tr>
        <w:trPr>
          <w:trHeight w:val="567" w:hRule="exact"/>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N-化学智能危化品室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一层</w:t>
            </w:r>
            <w:r/>
          </w:p>
        </w:tc>
      </w:tr>
      <w:tr>
        <w:trPr>
          <w:trHeight w:val="567" w:hRule="exact"/>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O-物理准备室</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三层</w:t>
            </w:r>
            <w:r/>
          </w:p>
        </w:tc>
      </w:tr>
      <w:tr>
        <w:trPr>
          <w:trHeight w:val="567" w:hRule="exact"/>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P-生物器材准备室1</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五层</w:t>
            </w:r>
            <w:r/>
          </w:p>
        </w:tc>
      </w:tr>
      <w:tr>
        <w:trPr>
          <w:trHeight w:val="567" w:hRule="exact"/>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none" w:color="000000" w:sz="4" w:space="0"/>
              <w:bottom w:val="single" w:color="000000" w:sz="4" w:space="0"/>
              <w:right w:val="none" w:color="000000" w:sz="4" w:space="0"/>
            </w:tcBorders>
            <w:tcW w:w="2274"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Q-生物器材准备室2</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4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五层</w:t>
            </w:r>
            <w:r/>
          </w:p>
        </w:tc>
      </w:tr>
    </w:tbl>
    <w:p>
      <w:p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Calibri" w:hAnsi="Calibri" w:eastAsia="宋体" w:cs="Times New Roman"/>
          <w:color w:val="auto"/>
          <w:sz w:val="21"/>
          <w:szCs w:val="24"/>
          <w:lang w:val="en-US" w:eastAsia="zh-CN" w:bidi="ar-SA"/>
        </w:rPr>
      </w:pPr>
      <w:r>
        <w:rPr>
          <w:rFonts w:hint="eastAsia" w:ascii="Calibri" w:hAnsi="Calibri" w:eastAsia="宋体" w:cs="Times New Roman"/>
          <w:color w:val="auto"/>
          <w:sz w:val="21"/>
          <w:szCs w:val="24"/>
          <w:lang w:val="en-US" w:eastAsia="zh-CN" w:bidi="ar-SA"/>
        </w:rPr>
      </w:r>
      <w:r/>
    </w:p>
    <w:p>
      <w:pPr>
        <w:rPr>
          <w:rFonts w:hint="eastAsia"/>
          <w:color w:val="auto"/>
          <w:lang w:val="en-US" w:eastAsia="zh-CN"/>
        </w:rPr>
      </w:pPr>
      <w:r>
        <w:rPr>
          <w:rFonts w:hint="eastAsia"/>
          <w:color w:val="auto"/>
          <w:lang w:val="en-US" w:eastAsia="zh-CN"/>
        </w:rPr>
      </w:r>
      <w:r/>
    </w:p>
    <w:p>
      <w:pPr>
        <w:jc w:val="left"/>
        <w:rPr>
          <w:rFonts w:hint="default"/>
          <w:b/>
          <w:bCs/>
          <w:color w:val="auto"/>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b/>
          <w:bCs/>
          <w:color w:val="auto"/>
          <w:lang w:val="en-US" w:eastAsia="zh-CN"/>
        </w:rPr>
        <w:t xml:space="preserve">注：以下清单为1间教室的清单。请投标人先按照1间教室清单汇总价格后再进行采购包总价汇总合计。</w:t>
      </w:r>
      <w:r/>
    </w:p>
    <w:tbl>
      <w:tblPr>
        <w:tblStyle w:val="72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114"/>
        <w:gridCol w:w="6599"/>
        <w:gridCol w:w="705"/>
        <w:gridCol w:w="731"/>
      </w:tblGrid>
      <w:tr>
        <w:trPr>
          <w:trHeight w:val="285"/>
        </w:trPr>
        <w:tc>
          <w:tcPr>
            <w:gridSpan w:val="5"/>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A-56座化学智能吊装实验室</w:t>
            </w:r>
            <w:r/>
          </w:p>
        </w:tc>
      </w:tr>
      <w:tr>
        <w:trPr>
          <w:trHeight w:val="28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tcW w:w="331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285"/>
        </w:trPr>
        <w:tc>
          <w:tcPr>
            <w:gridSpan w:val="3"/>
            <w:tcW w:w="42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A1、实验室基础设备配置</w:t>
            </w:r>
            <w:r/>
          </w:p>
        </w:tc>
        <w:tc>
          <w:tcPr>
            <w:tcW w:w="354"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W w:w="365"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2015"/>
        </w:trPr>
        <w:tc>
          <w:tcPr>
            <w:tcW w:w="408" w:type="pct"/>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A1-01</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rPr>
                <w:rStyle w:val="966"/>
                <w:rFonts w:hint="eastAsia" w:ascii="宋体" w:hAnsi="宋体" w:eastAsia="宋体" w:cs="宋体"/>
                <w:color w:val="auto"/>
                <w:sz w:val="21"/>
                <w:szCs w:val="21"/>
                <w:lang w:val="en-US" w:eastAsia="zh-CN" w:bidi="ar"/>
              </w:rPr>
              <w:t xml:space="preserve">教师演示台</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#1、规格：≥L2400mm*W700mm*H850mm；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#2、台面：采用≥25mm厚理化板，且满足如下参数要求：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（1）化学性能检测：依据GB/T 17657-2022《人造板及饰面人造板理化性能试验方法》标准，耐污染性能检测，</w:t>
            </w:r>
            <w:r>
              <w:rPr>
                <w:rFonts w:hint="eastAsia" w:ascii="宋体" w:hAnsi="宋体" w:eastAsia="宋体" w:cs="宋体"/>
                <w:i w:val="0"/>
                <w:iCs w:val="0"/>
                <w:strike w:val="0"/>
                <w:color w:val="auto"/>
                <w:sz w:val="21"/>
                <w:szCs w:val="21"/>
                <w:highlight w:val="none"/>
                <w:u w:val="none"/>
                <w:lang w:val="en-US" w:eastAsia="zh-CN" w:bidi="ar"/>
              </w:rPr>
              <w:t xml:space="preserve">包含：65%硝酸、98%硫酸、氢氧化钾、液溴、乙酸铵、液体石蜡、柠檬酸、红药水、双氧水、丙酮、四氢呋喃等试剂，</w:t>
            </w:r>
            <w:r>
              <w:rPr>
                <w:rFonts w:hint="eastAsia" w:ascii="宋体" w:hAnsi="宋体" w:eastAsia="宋体" w:cs="宋体"/>
                <w:i w:val="0"/>
                <w:iCs w:val="0"/>
                <w:strike w:val="0"/>
                <w:color w:val="auto"/>
                <w:sz w:val="21"/>
                <w:szCs w:val="21"/>
                <w:highlight w:val="none"/>
                <w:u w:val="none"/>
                <w:lang w:val="en-US" w:eastAsia="zh-CN" w:bidi="ar"/>
              </w:rPr>
              <w:t xml:space="preserve">检</w:t>
            </w:r>
            <w:r>
              <w:rPr>
                <w:rFonts w:hint="eastAsia" w:ascii="宋体" w:hAnsi="宋体" w:eastAsia="宋体" w:cs="宋体"/>
                <w:i w:val="0"/>
                <w:iCs w:val="0"/>
                <w:color w:val="auto"/>
                <w:sz w:val="21"/>
                <w:szCs w:val="21"/>
                <w:highlight w:val="none"/>
                <w:u w:val="none"/>
                <w:lang w:val="en-US" w:eastAsia="zh-CN" w:bidi="ar"/>
              </w:rPr>
              <w:t xml:space="preserve">验结果均为5级：无明显变化。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（2）物理性能检测：依据GB/T 17657-2022《人造板及饰面人造板理化性能试验方法》标准，未出现磨损点；表面耐湿热性能：五级无明显变化；浸渍剥离性能：贴面层与基材之间的胶层无剥离和分层现象；耐光色牢度性能:4级；漆膜附着力：六级</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切割边缘完全平滑，网格内无脱落等。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）防霉性能检测：依据JC/T2039-2010标准，符合：黑曲霉、土曲霉、球毛壳霉、宛氏拟青霉、绳状青霉、出芽短梗霉等霉菌检测，且防霉等级为0级。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#3、桌身：整体采用≥1.0mm厚冷轧钢板，全部钢制件镀膜防锈处理。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#4、结构：演示台设有储</w:t>
            </w:r>
            <w:r>
              <w:rPr>
                <w:rFonts w:hint="eastAsia" w:ascii="宋体" w:hAnsi="宋体" w:eastAsia="宋体" w:cs="宋体"/>
                <w:i w:val="0"/>
                <w:iCs w:val="0"/>
                <w:color w:val="auto"/>
                <w:sz w:val="21"/>
                <w:szCs w:val="21"/>
                <w:highlight w:val="none"/>
                <w:u w:val="none"/>
                <w:lang w:val="en-US" w:eastAsia="zh-CN" w:bidi="ar"/>
              </w:rPr>
              <w:t xml:space="preserve">物柜，中间为演示台,设置电源主控系统、多媒体设备（主机、显示器、中控、功放、交换机）的位置预留。含PP水槽、下水管及三联水嘴。                                                                                                                                                                          #5、 柜门：门板加衬板双层结构，内含填充物。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▲6、冷轧钢板技术要求</w:t>
            </w:r>
            <w:r>
              <w:rPr>
                <w:rFonts w:hint="eastAsia" w:ascii="宋体" w:hAnsi="宋体" w:cs="宋体"/>
                <w:i w:val="0"/>
                <w:iCs w:val="0"/>
                <w:color w:val="auto"/>
                <w:sz w:val="21"/>
                <w:szCs w:val="21"/>
                <w:highlight w:val="none"/>
                <w:u w:val="none"/>
                <w:lang w:val="en-US" w:eastAsia="zh-CN" w:bidi="ar"/>
              </w:rPr>
              <w:t xml:space="preserve">符合</w:t>
            </w:r>
            <w:r>
              <w:rPr>
                <w:rFonts w:hint="eastAsia" w:ascii="宋体" w:hAnsi="宋体" w:eastAsia="宋体" w:cs="宋体"/>
                <w:i w:val="0"/>
                <w:iCs w:val="0"/>
                <w:color w:val="auto"/>
                <w:sz w:val="21"/>
                <w:szCs w:val="21"/>
                <w:highlight w:val="none"/>
                <w:u w:val="none"/>
                <w:lang w:val="en-US" w:eastAsia="zh-CN" w:bidi="ar"/>
              </w:rPr>
              <w:t xml:space="preserve">GB/T4893.9 </w:t>
            </w:r>
            <w:r>
              <w:rPr>
                <w:rFonts w:hint="eastAsia" w:ascii="宋体" w:hAnsi="宋体" w:cs="宋体"/>
                <w:i w:val="0"/>
                <w:iCs w:val="0"/>
                <w:color w:val="auto"/>
                <w:sz w:val="21"/>
                <w:szCs w:val="21"/>
                <w:highlight w:val="none"/>
                <w:u w:val="none"/>
                <w:lang w:val="en-US" w:eastAsia="zh-CN" w:bidi="ar"/>
              </w:rPr>
              <w:t xml:space="preserve">-2013</w:t>
            </w:r>
            <w:r>
              <w:rPr>
                <w:rFonts w:hint="eastAsia" w:ascii="宋体" w:hAnsi="宋体" w:eastAsia="宋体" w:cs="宋体"/>
                <w:i w:val="0"/>
                <w:iCs w:val="0"/>
                <w:color w:val="auto"/>
                <w:sz w:val="21"/>
                <w:szCs w:val="21"/>
                <w:highlight w:val="none"/>
                <w:u w:val="none"/>
                <w:lang w:val="en-US" w:eastAsia="zh-CN" w:bidi="ar"/>
              </w:rPr>
              <w:t xml:space="preserve">家具表面漆膜抗冲击测定标准测试：漆膜抗冲击测试中等级1的要求。</w:t>
            </w:r>
            <w:r>
              <w:rPr>
                <w:rStyle w:val="970"/>
                <w:rFonts w:hint="eastAsia" w:ascii="宋体" w:hAnsi="宋体" w:eastAsia="宋体" w:cs="宋体"/>
                <w:color w:val="auto"/>
                <w:sz w:val="21"/>
                <w:szCs w:val="21"/>
                <w:highlight w:val="none"/>
                <w:lang w:val="en-US" w:eastAsia="zh-CN" w:bidi="ar"/>
              </w:rPr>
              <w:t xml:space="preserve">（提供具有CMA标识的第三方检测机构出具的检测报告原件扫描件）</w:t>
            </w:r>
            <w:r>
              <w:rPr>
                <w:rStyle w:val="966"/>
                <w:rFonts w:hint="eastAsia" w:ascii="宋体" w:hAnsi="宋体" w:eastAsia="宋体" w:cs="宋体"/>
                <w:color w:val="auto"/>
                <w:sz w:val="21"/>
                <w:szCs w:val="21"/>
                <w:highlight w:val="none"/>
                <w:lang w:val="en-US" w:eastAsia="zh-CN" w:bidi="ar"/>
              </w:rPr>
              <w:br/>
            </w:r>
            <w:r>
              <w:rPr>
                <w:rStyle w:val="966"/>
                <w:rFonts w:hint="eastAsia" w:ascii="宋体" w:hAnsi="宋体" w:eastAsia="宋体" w:cs="宋体"/>
                <w:color w:val="auto"/>
                <w:sz w:val="21"/>
                <w:szCs w:val="21"/>
                <w:highlight w:val="none"/>
                <w:lang w:val="en-US" w:eastAsia="zh-CN" w:bidi="ar"/>
              </w:rPr>
              <w:t xml:space="preserve">#7、滑道：抽屉全部采用三节承重式滚珠滑道开合十万次不变形。</w:t>
            </w:r>
            <w:r>
              <w:rPr>
                <w:rStyle w:val="966"/>
                <w:rFonts w:hint="eastAsia" w:ascii="宋体" w:hAnsi="宋体" w:eastAsia="宋体" w:cs="宋体"/>
                <w:color w:val="auto"/>
                <w:sz w:val="21"/>
                <w:szCs w:val="21"/>
                <w:highlight w:val="none"/>
                <w:lang w:val="en-US" w:eastAsia="zh-CN" w:bidi="ar"/>
              </w:rPr>
              <w:br/>
            </w:r>
            <w:r>
              <w:rPr>
                <w:rStyle w:val="966"/>
                <w:rFonts w:hint="eastAsia" w:ascii="宋体" w:hAnsi="宋体" w:eastAsia="宋体" w:cs="宋体"/>
                <w:color w:val="auto"/>
                <w:sz w:val="21"/>
                <w:szCs w:val="21"/>
                <w:highlight w:val="none"/>
                <w:lang w:val="en-US" w:eastAsia="zh-CN" w:bidi="ar"/>
              </w:rPr>
              <w:t xml:space="preserve">#8、三联水嘴：鹅颈式实验室专用化验水嘴：要求防酸碱、防锈、防虹吸、防阻塞，表面环氧树脂喷涂。开关阀芯为铜质陶瓷芯，高头，便于多用途使用，可拆卸清洗阻塞。出水嘴可拆卸，内有成型螺纹，可方便连接循环等特殊用水水管。</w:t>
            </w:r>
            <w:r>
              <w:rPr>
                <w:rStyle w:val="966"/>
                <w:rFonts w:hint="eastAsia" w:ascii="宋体" w:hAnsi="宋体" w:eastAsia="宋体" w:cs="宋体"/>
                <w:color w:val="auto"/>
                <w:sz w:val="21"/>
                <w:szCs w:val="21"/>
                <w:highlight w:val="none"/>
                <w:lang w:val="en-US" w:eastAsia="zh-CN" w:bidi="ar"/>
              </w:rPr>
              <w:br/>
            </w:r>
            <w:r>
              <w:rPr>
                <w:rStyle w:val="966"/>
                <w:rFonts w:hint="eastAsia" w:ascii="宋体" w:hAnsi="宋体" w:eastAsia="宋体" w:cs="宋体"/>
                <w:color w:val="auto"/>
                <w:sz w:val="21"/>
                <w:szCs w:val="21"/>
                <w:highlight w:val="none"/>
                <w:lang w:val="en-US" w:eastAsia="zh-CN" w:bidi="ar"/>
              </w:rPr>
              <w:t xml:space="preserve">#9、下水管：水槽专配型排水管，不锈钢卡扣连接，安装方便不渗漏。</w:t>
            </w:r>
            <w:r>
              <w:rPr>
                <w:rStyle w:val="966"/>
                <w:rFonts w:hint="eastAsia" w:ascii="宋体" w:hAnsi="宋体" w:eastAsia="宋体" w:cs="宋体"/>
                <w:color w:val="auto"/>
                <w:sz w:val="21"/>
                <w:szCs w:val="21"/>
                <w:highlight w:val="none"/>
                <w:lang w:val="en-US" w:eastAsia="zh-CN" w:bidi="ar"/>
              </w:rPr>
              <w:br/>
            </w:r>
            <w:r>
              <w:rPr>
                <w:rStyle w:val="966"/>
                <w:rFonts w:hint="eastAsia" w:ascii="宋体" w:hAnsi="宋体" w:eastAsia="宋体" w:cs="宋体"/>
                <w:color w:val="auto"/>
                <w:sz w:val="21"/>
                <w:szCs w:val="21"/>
                <w:highlight w:val="none"/>
                <w:lang w:val="en-US" w:eastAsia="zh-CN" w:bidi="ar"/>
              </w:rPr>
              <w:t xml:space="preserve">▲10、教师演示台技术要求</w:t>
            </w:r>
            <w:r>
              <w:rPr>
                <w:rStyle w:val="966"/>
                <w:rFonts w:hint="eastAsia" w:ascii="宋体" w:hAnsi="宋体" w:cs="宋体"/>
                <w:color w:val="auto"/>
                <w:sz w:val="21"/>
                <w:szCs w:val="21"/>
                <w:highlight w:val="none"/>
                <w:lang w:val="en-US" w:eastAsia="zh-CN" w:bidi="ar"/>
              </w:rPr>
              <w:t xml:space="preserve">符合</w:t>
            </w:r>
            <w:r>
              <w:rPr>
                <w:rStyle w:val="966"/>
                <w:rFonts w:hint="eastAsia" w:ascii="宋体" w:hAnsi="宋体" w:eastAsia="宋体" w:cs="宋体"/>
                <w:color w:val="auto"/>
                <w:sz w:val="21"/>
                <w:szCs w:val="21"/>
                <w:highlight w:val="none"/>
                <w:lang w:val="en-US" w:eastAsia="zh-CN" w:bidi="ar"/>
              </w:rPr>
              <w:t xml:space="preserve">：GB/T24820-2024实验室家具通用技术条件：操作台力学性能：水平静载荷试验：力600N,10次；垂直静载荷试验：主桌面：力2000N，10次；水平冲击稳定性：质量50kg,高度40mm；跌落</w:t>
            </w:r>
            <w:r>
              <w:rPr>
                <w:rStyle w:val="966"/>
                <w:rFonts w:hint="eastAsia" w:ascii="宋体" w:hAnsi="宋体" w:cs="宋体"/>
                <w:color w:val="auto"/>
                <w:sz w:val="21"/>
                <w:szCs w:val="21"/>
                <w:highlight w:val="none"/>
                <w:lang w:val="en-US" w:eastAsia="zh-CN" w:bidi="ar"/>
              </w:rPr>
              <w:t xml:space="preserve">实验</w:t>
            </w:r>
            <w:r>
              <w:rPr>
                <w:rStyle w:val="966"/>
                <w:rFonts w:hint="eastAsia" w:ascii="宋体" w:hAnsi="宋体" w:eastAsia="宋体" w:cs="宋体"/>
                <w:color w:val="auto"/>
                <w:sz w:val="21"/>
                <w:szCs w:val="21"/>
                <w:highlight w:val="none"/>
                <w:lang w:val="en-US" w:eastAsia="zh-CN" w:bidi="ar"/>
              </w:rPr>
              <w:t xml:space="preserve">：跌落高度:150mm,10次；</w:t>
            </w:r>
            <w:r>
              <w:rPr>
                <w:rStyle w:val="970"/>
                <w:rFonts w:hint="eastAsia" w:ascii="宋体" w:hAnsi="宋体" w:eastAsia="宋体" w:cs="宋体"/>
                <w:color w:val="auto"/>
                <w:sz w:val="21"/>
                <w:szCs w:val="21"/>
                <w:highlight w:val="none"/>
                <w:lang w:val="en-US" w:eastAsia="zh-CN" w:bidi="ar"/>
              </w:rPr>
              <w:t xml:space="preserve">（提供具有CMA标识的第三方检测机构出具的检测报告原件扫描件）</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567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A1-02</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教师总控电源</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#1、采用密码开机管理；具有年月日，时分秒，定时自动关机功能；定时关机时间可以教师根据任务要求按需设定；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、采用耐用的数码管显示教师和学生交直流电压，电流；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、分4组向学生实验桌输出安全的220V交流电源，具备漏电及过载保护功能；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、教师可远程控制和锁定学生电源的低压交、直流电压。控制交流0V - 30V，分辨率为1V；直流0V - 30.0V，分辨率为0.1V。分4组控制；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、教师自用低压交流电源电压为0V-18V/3A、19V-30V/2A，分辨率为1V。具备自动过载保护功能；教师自用低压直流电源电压为0V-18.0V/2A、18.0V-30.0V/1.5A，分辨率为0.1V。具备自动过载保护功能；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、大电流短时输出。8秒内自动关断；电源的性能应符合《 JY/T 0374-2004 教学实验室设备电源系统 》中的相关要求；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、电源需通过通用要求标准测试其中环境条件：室内使用，高度在 2000m 以下，温度在 5C～40C范围内，温度低于31C时最大相对湿度为80%；温度为40C时相对湿度线性降低 50%，一瞬态过压为设施类别(过压类别)，电源电压波动不应超过标称电压的±10%，检测结果：合格。</w:t>
            </w:r>
            <w:r>
              <w:rPr>
                <w:rStyle w:val="966"/>
                <w:rFonts w:hint="eastAsia" w:ascii="宋体" w:hAnsi="宋体" w:eastAsia="宋体" w:cs="宋体"/>
                <w:strike/>
                <w:color w:val="auto"/>
                <w:sz w:val="21"/>
                <w:szCs w:val="21"/>
                <w:highlight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Style w:val="966"/>
                <w:rFonts w:hint="eastAsia" w:ascii="宋体" w:hAnsi="宋体" w:cs="宋体"/>
                <w:color w:val="auto"/>
                <w:sz w:val="21"/>
                <w:szCs w:val="21"/>
                <w:highlight w:val="none"/>
                <w:lang w:val="en-US" w:eastAsia="zh-CN" w:bidi="ar"/>
              </w:rPr>
              <w:t xml:space="preserve">8</w:t>
            </w:r>
            <w:r>
              <w:rPr>
                <w:rStyle w:val="966"/>
                <w:rFonts w:hint="eastAsia" w:ascii="宋体" w:hAnsi="宋体" w:eastAsia="宋体" w:cs="宋体"/>
                <w:color w:val="auto"/>
                <w:sz w:val="21"/>
                <w:szCs w:val="21"/>
                <w:highlight w:val="none"/>
                <w:lang w:val="en-US" w:eastAsia="zh-CN" w:bidi="ar"/>
              </w:rPr>
              <w:t xml:space="preserve">、电源需通过通用要求标准测试其中安全要求：1）电击危险：设备设计和构造以防止电击危险的要求，包括隔离、保护和接地；2）火灾危险：设计和构造以防止火灾危险的要求，包括电气和机械方面的防护。检测结果：合格。</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9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A1-03</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实验桌</w:t>
            </w:r>
            <w:r/>
          </w:p>
        </w:tc>
        <w:tc>
          <w:tcPr>
            <w:tcW w:w="3312" w:type="pct"/>
            <w:vAlign w:val="center"/>
            <w:textDirection w:val="lrTb"/>
            <w:noWrap w:val="false"/>
          </w:tcPr>
          <w:p>
            <w:pPr>
              <w:jc w:val="left"/>
              <w:keepLines w:val="0"/>
              <w:keepNext w:val="0"/>
              <w:pageBreakBefore w:val="0"/>
              <w:spacing w:line="400" w:lineRule="exact"/>
              <w:widowControl/>
              <w:rPr>
                <w:rStyle w:val="970"/>
                <w:rFonts w:hint="eastAsia" w:ascii="宋体" w:hAnsi="宋体" w:eastAsia="宋体" w:cs="宋体"/>
                <w:color w:val="auto"/>
                <w:sz w:val="21"/>
                <w:szCs w:val="21"/>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#1、规格：约L1200mm*W600mm*H780mm；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#2、台面：选用实验室专用 ≥20mm 厚陶瓷台面，耐高温、釉面和坯体结合后不脱落、不脱层，耐磨、耐强腐蚀，釉面有</w:t>
            </w:r>
            <w:r>
              <w:rPr>
                <w:rFonts w:hint="eastAsia" w:ascii="宋体" w:hAnsi="宋体" w:cs="宋体"/>
                <w:i w:val="0"/>
                <w:iCs w:val="0"/>
                <w:strike w:val="0"/>
                <w:color w:val="auto"/>
                <w:sz w:val="21"/>
                <w:szCs w:val="21"/>
                <w:u w:val="none"/>
                <w:lang w:val="en-US" w:eastAsia="zh-CN" w:bidi="ar"/>
              </w:rPr>
              <w:t xml:space="preserve">多种</w:t>
            </w:r>
            <w:r>
              <w:rPr>
                <w:rFonts w:hint="eastAsia" w:ascii="宋体" w:hAnsi="宋体" w:eastAsia="宋体" w:cs="宋体"/>
                <w:i w:val="0"/>
                <w:iCs w:val="0"/>
                <w:color w:val="auto"/>
                <w:sz w:val="21"/>
                <w:szCs w:val="21"/>
                <w:u w:val="none"/>
                <w:lang w:val="en-US" w:eastAsia="zh-CN" w:bidi="ar"/>
              </w:rPr>
              <w:t xml:space="preserve">可选。各项性能需满足或优于以下要求：                                                                                                                                                         （1）按照GB/T 17657-2022标准对台面板进行检测，</w:t>
            </w:r>
            <w:r>
              <w:rPr>
                <w:rFonts w:hint="eastAsia" w:ascii="宋体" w:hAnsi="宋体" w:cs="宋体"/>
                <w:i w:val="0"/>
                <w:iCs w:val="0"/>
                <w:strike w:val="0"/>
                <w:color w:val="auto"/>
                <w:sz w:val="21"/>
                <w:szCs w:val="21"/>
                <w:u w:val="none"/>
                <w:lang w:val="en-US" w:eastAsia="zh-CN" w:bidi="ar"/>
              </w:rPr>
              <w:t xml:space="preserve">耐污性能</w:t>
            </w:r>
            <w:r>
              <w:rPr>
                <w:rFonts w:hint="eastAsia" w:ascii="宋体" w:hAnsi="宋体" w:eastAsia="宋体" w:cs="宋体"/>
                <w:i w:val="0"/>
                <w:iCs w:val="0"/>
                <w:color w:val="auto"/>
                <w:sz w:val="21"/>
                <w:szCs w:val="21"/>
                <w:u w:val="none"/>
                <w:lang w:val="en-US" w:eastAsia="zh-CN" w:bidi="ar"/>
              </w:rPr>
              <w:t xml:space="preserve">检验结果达到5级，无明显变化；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（2）承载能力：台面承载≥100kg，检测结果</w:t>
            </w:r>
            <w:r>
              <w:rPr>
                <w:rFonts w:hint="eastAsia" w:ascii="宋体" w:hAnsi="宋体" w:eastAsia="宋体" w:cs="宋体"/>
                <w:i w:val="0"/>
                <w:iCs w:val="0"/>
                <w:strike w:val="0"/>
                <w:color w:val="auto"/>
                <w:sz w:val="21"/>
                <w:szCs w:val="21"/>
                <w:u w:val="none"/>
                <w:lang w:val="en-US" w:eastAsia="zh-CN" w:bidi="ar"/>
              </w:rPr>
              <w:t xml:space="preserve">为：陶瓷板未出现</w:t>
            </w:r>
            <w:r>
              <w:rPr>
                <w:rFonts w:hint="eastAsia" w:ascii="宋体" w:hAnsi="宋体" w:eastAsia="宋体" w:cs="宋体"/>
                <w:i w:val="0"/>
                <w:iCs w:val="0"/>
                <w:color w:val="auto"/>
                <w:sz w:val="21"/>
                <w:szCs w:val="21"/>
                <w:u w:val="none"/>
                <w:lang w:val="en-US" w:eastAsia="zh-CN" w:bidi="ar"/>
              </w:rPr>
              <w:t xml:space="preserve">损坏；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#3、桌架：桌架由左右横梁、前横梁、中横梁、后横梁及拉筋组成，整体稳固牢靠；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#4、左右横梁：左右横梁采用≥</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.0mm冷轧钢板焊接成型，表面经高压静电喷涂环氧树脂防护层，耐酸碱，耐腐蚀处理；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#5、前中横梁：左右横梁采用≥</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.0mm冷轧钢板焊接成型，表面经高压静电喷涂环氧树脂防护层，耐酸碱，耐腐蚀处理；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#6、后横梁：后横梁采用铝合金挤出，壁厚≥1.3mm，表面经高压静电喷涂环氧树脂防护层，耐酸碱，耐腐蚀处理；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#7、拉筋：拉筋采用壁厚为≥1.</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mm，60*30的平椭圆管与≥3.</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mm的连接片焊接而成，表面经高压静电喷涂环氧树脂防护层，耐酸碱，耐腐蚀处理；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#8、桌腿：桌腿由前腿、装饰件及后腿组成，底部有橡胶脚垫或调节脚，减少与地面摩擦，桌腿底部预留孔位可与地面固定；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#9、前腿：采用壁厚为≥1.5mm厚的D型无缝钢管焊接成型，表面经高压静电喷涂环氧树脂防护层，耐酸碱，耐腐蚀处理，末端衔接ABS一体注塑堵头；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#10、装饰件：采用壁厚为≥1.0mm厚的焊接成型，表面经高压静电喷涂环氧树脂防护层，耐酸碱，耐腐蚀处理；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#11、后腿：采用壁厚为≥1.5mm厚的D型无缝钢管焊接成型，表面经高压静电喷涂环氧树脂防护层，耐酸碱，耐腐蚀处理，末端衔接ABS一体注塑堵头；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#12、书包斗：采用PP工程塑料作原料，经模具注塑一次成型，外形规格：420mm×300㎜×175㎜</w:t>
            </w:r>
            <w:r>
              <w:rPr>
                <w:rFonts w:hint="eastAsia" w:ascii="宋体" w:hAnsi="宋体" w:cs="宋体"/>
                <w:i w:val="0"/>
                <w:iCs w:val="0"/>
                <w:color w:val="auto"/>
                <w:sz w:val="21"/>
                <w:szCs w:val="21"/>
                <w:u w:val="none"/>
                <w:lang w:val="en-US" w:eastAsia="zh-CN" w:bidi="ar"/>
              </w:rPr>
              <w:t xml:space="preserve">（±20mm）</w:t>
            </w:r>
            <w:r>
              <w:rPr>
                <w:rFonts w:hint="eastAsia" w:ascii="宋体" w:hAnsi="宋体" w:eastAsia="宋体" w:cs="宋体"/>
                <w:i w:val="0"/>
                <w:iCs w:val="0"/>
                <w:color w:val="auto"/>
                <w:sz w:val="21"/>
                <w:szCs w:val="21"/>
                <w:u w:val="none"/>
                <w:lang w:val="en-US" w:eastAsia="zh-CN" w:bidi="ar"/>
              </w:rPr>
              <w:t xml:space="preserve">，壁厚≥3mm；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▲13、实验桌技术要求</w:t>
            </w:r>
            <w:r>
              <w:rPr>
                <w:rFonts w:hint="eastAsia" w:ascii="宋体" w:hAnsi="宋体" w:cs="宋体"/>
                <w:i w:val="0"/>
                <w:iCs w:val="0"/>
                <w:color w:val="auto"/>
                <w:sz w:val="21"/>
                <w:szCs w:val="21"/>
                <w:u w:val="none"/>
                <w:lang w:val="en-US" w:eastAsia="zh-CN" w:bidi="ar"/>
              </w:rPr>
              <w:t xml:space="preserve">符合</w:t>
            </w:r>
            <w:r>
              <w:rPr>
                <w:rFonts w:hint="eastAsia" w:ascii="宋体" w:hAnsi="宋体" w:eastAsia="宋体" w:cs="宋体"/>
                <w:i w:val="0"/>
                <w:iCs w:val="0"/>
                <w:color w:val="auto"/>
                <w:sz w:val="21"/>
                <w:szCs w:val="21"/>
                <w:u w:val="none"/>
                <w:lang w:val="en-US" w:eastAsia="zh-CN" w:bidi="ar"/>
              </w:rPr>
              <w:t xml:space="preserve">：</w:t>
            </w:r>
            <w:r>
              <w:rPr>
                <w:rStyle w:val="966"/>
                <w:rFonts w:hint="eastAsia" w:ascii="宋体" w:hAnsi="宋体" w:eastAsia="宋体" w:cs="宋体"/>
                <w:color w:val="auto"/>
                <w:sz w:val="21"/>
                <w:szCs w:val="21"/>
                <w:highlight w:val="none"/>
                <w:lang w:val="en-US" w:eastAsia="zh-CN" w:bidi="ar"/>
              </w:rPr>
              <w:t xml:space="preserve">GB/T24820-2024实验室家具通用技术条件</w:t>
            </w:r>
            <w:r>
              <w:rPr>
                <w:rFonts w:hint="eastAsia" w:ascii="宋体" w:hAnsi="宋体" w:eastAsia="宋体" w:cs="宋体"/>
                <w:i w:val="0"/>
                <w:iCs w:val="0"/>
                <w:color w:val="auto"/>
                <w:sz w:val="21"/>
                <w:szCs w:val="21"/>
                <w:u w:val="none"/>
                <w:lang w:val="en-US" w:eastAsia="zh-CN" w:bidi="ar"/>
              </w:rPr>
              <w:t xml:space="preserve">：操作台力学性能：水平静载荷试验：力600N,10次；垂直静载荷试验：主桌面：力2000N，10次；水平冲击稳定性：质量50kg，高度40mm；跌落</w:t>
            </w:r>
            <w:r>
              <w:rPr>
                <w:rFonts w:hint="eastAsia" w:ascii="宋体" w:hAnsi="宋体" w:cs="宋体"/>
                <w:i w:val="0"/>
                <w:iCs w:val="0"/>
                <w:color w:val="auto"/>
                <w:sz w:val="21"/>
                <w:szCs w:val="21"/>
                <w:u w:val="none"/>
                <w:lang w:val="en-US" w:eastAsia="zh-CN" w:bidi="ar"/>
              </w:rPr>
              <w:t xml:space="preserve">实验</w:t>
            </w:r>
            <w:r>
              <w:rPr>
                <w:rFonts w:hint="eastAsia" w:ascii="宋体" w:hAnsi="宋体" w:eastAsia="宋体" w:cs="宋体"/>
                <w:i w:val="0"/>
                <w:iCs w:val="0"/>
                <w:color w:val="auto"/>
                <w:sz w:val="21"/>
                <w:szCs w:val="21"/>
                <w:u w:val="none"/>
                <w:lang w:val="en-US" w:eastAsia="zh-CN" w:bidi="ar"/>
              </w:rPr>
              <w:t xml:space="preserve">：跌落高度:150mm,10次；</w:t>
            </w:r>
            <w:r>
              <w:rPr>
                <w:rStyle w:val="970"/>
                <w:rFonts w:hint="eastAsia" w:ascii="宋体" w:hAnsi="宋体" w:eastAsia="宋体" w:cs="宋体"/>
                <w:color w:val="auto"/>
                <w:sz w:val="21"/>
                <w:szCs w:val="21"/>
                <w:lang w:val="en-US" w:eastAsia="zh-CN" w:bidi="ar"/>
              </w:rPr>
              <w:t xml:space="preserve">（提供具有CMA标识的第三方检测机构出具的检测报告原件扫描件）</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273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A1-04</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实验凳</w:t>
            </w:r>
            <w:r/>
          </w:p>
        </w:tc>
        <w:tc>
          <w:tcPr>
            <w:tcW w:w="3312" w:type="pct"/>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#1、凳面：</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直径≥300mm×30mm 采用环保型PP改性塑料一次性注塑成型 ，表面细纹咬花，防滑不发光；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#2、凳架：采用≥20×40×1.2mm椭圆形无缝钢管成型制作，全圆满焊接完成，结构牢固，经高温粉体烤漆处理，长时间使用也不会产生表面烤漆剥落现象；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#3、升降螺杆：采用内置螺杆式螺旋升降，凳面升高后看不到螺杆不摇晃更美观,高度</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430</w:t>
            </w:r>
            <w:r>
              <w:rPr>
                <w:rFonts w:hint="eastAsia" w:ascii="宋体" w:hAnsi="宋体" w:cs="宋体"/>
                <w:i w:val="0"/>
                <w:iCs w:val="0"/>
                <w:color w:val="auto"/>
                <w:sz w:val="21"/>
                <w:szCs w:val="21"/>
                <w:u w:val="none"/>
                <w:lang w:val="en-US" w:eastAsia="zh-CN" w:bidi="ar"/>
              </w:rPr>
              <w:t xml:space="preserve">mm</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#4、托盘采用≥165*165*1.8MM钢板冲压而成，托盘与螺杆之间设有一个锥形盘加固，使凳子更加稳固；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#5、脚垫：采用PP加耐磨纤维质塑料注塑成型，有效降低凳子拖动产生的刺耳噪音；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#6、实验凳技术要求</w:t>
            </w:r>
            <w:r>
              <w:rPr>
                <w:rFonts w:hint="eastAsia" w:ascii="宋体" w:hAnsi="宋体" w:cs="宋体"/>
                <w:i w:val="0"/>
                <w:iCs w:val="0"/>
                <w:color w:val="auto"/>
                <w:sz w:val="21"/>
                <w:szCs w:val="21"/>
                <w:u w:val="none"/>
                <w:lang w:val="en-US" w:eastAsia="zh-CN" w:bidi="ar"/>
              </w:rPr>
              <w:t xml:space="preserve">符合</w:t>
            </w:r>
            <w:r>
              <w:rPr>
                <w:rFonts w:hint="eastAsia" w:ascii="宋体" w:hAnsi="宋体" w:eastAsia="宋体" w:cs="宋体"/>
                <w:i w:val="0"/>
                <w:iCs w:val="0"/>
                <w:color w:val="auto"/>
                <w:sz w:val="21"/>
                <w:szCs w:val="21"/>
                <w:u w:val="none"/>
                <w:lang w:val="en-US" w:eastAsia="zh-CN" w:bidi="ar"/>
              </w:rPr>
              <w:t xml:space="preserve">GB/T3325-2024《金属家具通用技术条件》标准测试</w:t>
            </w:r>
            <w:r>
              <w:rPr>
                <w:rFonts w:hint="eastAsia" w:ascii="宋体" w:hAnsi="宋体" w:cs="宋体"/>
                <w:i w:val="0"/>
                <w:iCs w:val="0"/>
                <w:color w:val="auto"/>
                <w:sz w:val="21"/>
                <w:szCs w:val="21"/>
                <w:u w:val="none"/>
                <w:lang w:val="en-US" w:eastAsia="zh-CN" w:bidi="ar"/>
              </w:rPr>
              <w:t xml:space="preserve">；</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条</w:t>
            </w:r>
            <w:r/>
          </w:p>
        </w:tc>
      </w:tr>
      <w:tr>
        <w:trPr>
          <w:trHeight w:val="135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A1-05</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功能柱</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L350*W200*H730mm；整体采用PP材质，经注塑模具一体化成型，耐摔坚固耐酸耐碱，上桶整体注塑成型，侧面无缝无需螺丝安装。四角圆弧造型，分上下二节设计，底脚两侧带与地面带安装孔构建，内部隐藏实验线管及通风管道，上下桶二节无螺丝拼接而成，整体双色，壁厚≥2.5MM。</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733"/>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A1-06</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水槽柜</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L450mm*W600mm*H840mm；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#2、水槽：采用PP改性材料，塑料注塑一次性成型，内置溢水孔，防止水位过高导致溢水；</w:t>
            </w:r>
            <w:r>
              <w:rPr>
                <w:rStyle w:val="966"/>
                <w:rFonts w:hint="eastAsia" w:ascii="宋体" w:hAnsi="宋体" w:eastAsia="宋体" w:cs="宋体"/>
                <w:color w:val="auto"/>
                <w:sz w:val="21"/>
                <w:szCs w:val="21"/>
                <w:lang w:val="en-US" w:eastAsia="zh-CN" w:bidi="ar"/>
              </w:rPr>
              <w:br/>
            </w:r>
            <w:r>
              <w:rPr>
                <w:rStyle w:val="966"/>
                <w:rFonts w:hint="eastAsia" w:ascii="宋体" w:hAnsi="宋体" w:eastAsia="宋体" w:cs="宋体"/>
                <w:color w:val="auto"/>
                <w:sz w:val="21"/>
                <w:szCs w:val="21"/>
                <w:lang w:val="en-US" w:eastAsia="zh-CN" w:bidi="ar"/>
              </w:rPr>
              <w:t xml:space="preserve">#</w:t>
            </w:r>
            <w:r>
              <w:rPr>
                <w:rStyle w:val="966"/>
                <w:rFonts w:hint="eastAsia" w:ascii="宋体" w:hAnsi="宋体" w:cs="宋体"/>
                <w:color w:val="auto"/>
                <w:sz w:val="21"/>
                <w:szCs w:val="21"/>
                <w:lang w:val="en-US" w:eastAsia="zh-CN" w:bidi="ar"/>
              </w:rPr>
              <w:t xml:space="preserve">3</w:t>
            </w:r>
            <w:r>
              <w:rPr>
                <w:rStyle w:val="966"/>
                <w:rFonts w:hint="eastAsia" w:ascii="宋体" w:hAnsi="宋体" w:eastAsia="宋体" w:cs="宋体"/>
                <w:color w:val="auto"/>
                <w:sz w:val="21"/>
                <w:szCs w:val="21"/>
                <w:lang w:val="en-US" w:eastAsia="zh-CN" w:bidi="ar"/>
              </w:rPr>
              <w:t xml:space="preserve">、水槽托架：采用≥1.0mm冷轧钢板焊接成型，表面经高压静电喷涂环氧树脂防护层，耐酸碱，耐腐蚀处理,通过螺丝将水槽固定在托架上，使整体更加稳固；</w:t>
            </w:r>
            <w:r>
              <w:rPr>
                <w:rStyle w:val="966"/>
                <w:rFonts w:hint="eastAsia" w:ascii="宋体" w:hAnsi="宋体" w:eastAsia="宋体" w:cs="宋体"/>
                <w:color w:val="auto"/>
                <w:sz w:val="21"/>
                <w:szCs w:val="21"/>
                <w:lang w:val="en-US" w:eastAsia="zh-CN" w:bidi="ar"/>
              </w:rPr>
              <w:br/>
            </w:r>
            <w:r>
              <w:rPr>
                <w:rStyle w:val="966"/>
                <w:rFonts w:hint="eastAsia" w:ascii="宋体" w:hAnsi="宋体" w:eastAsia="宋体" w:cs="宋体"/>
                <w:color w:val="auto"/>
                <w:sz w:val="21"/>
                <w:szCs w:val="21"/>
                <w:lang w:val="en-US" w:eastAsia="zh-CN" w:bidi="ar"/>
              </w:rPr>
              <w:t xml:space="preserve">#</w:t>
            </w:r>
            <w:r>
              <w:rPr>
                <w:rStyle w:val="966"/>
                <w:rFonts w:hint="eastAsia" w:ascii="宋体" w:hAnsi="宋体" w:cs="宋体"/>
                <w:color w:val="auto"/>
                <w:sz w:val="21"/>
                <w:szCs w:val="21"/>
                <w:lang w:val="en-US" w:eastAsia="zh-CN" w:bidi="ar"/>
              </w:rPr>
              <w:t xml:space="preserve">4</w:t>
            </w:r>
            <w:r>
              <w:rPr>
                <w:rStyle w:val="966"/>
                <w:rFonts w:hint="eastAsia" w:ascii="宋体" w:hAnsi="宋体" w:eastAsia="宋体" w:cs="宋体"/>
                <w:color w:val="auto"/>
                <w:sz w:val="21"/>
                <w:szCs w:val="21"/>
                <w:lang w:val="en-US" w:eastAsia="zh-CN" w:bidi="ar"/>
              </w:rPr>
              <w:t xml:space="preserve">、水槽柜体：水槽柜体由侧板、前门板、后门板及底座组成，前后各设置一个柜门，便于日后维修养护；</w:t>
            </w:r>
            <w:r>
              <w:rPr>
                <w:rStyle w:val="966"/>
                <w:rFonts w:hint="eastAsia" w:ascii="宋体" w:hAnsi="宋体" w:eastAsia="宋体" w:cs="宋体"/>
                <w:color w:val="auto"/>
                <w:sz w:val="21"/>
                <w:szCs w:val="21"/>
                <w:lang w:val="en-US" w:eastAsia="zh-CN" w:bidi="ar"/>
              </w:rPr>
              <w:br/>
            </w:r>
            <w:r>
              <w:rPr>
                <w:rStyle w:val="966"/>
                <w:rFonts w:hint="eastAsia" w:ascii="宋体" w:hAnsi="宋体" w:eastAsia="宋体" w:cs="宋体"/>
                <w:color w:val="auto"/>
                <w:sz w:val="21"/>
                <w:szCs w:val="21"/>
                <w:lang w:val="en-US" w:eastAsia="zh-CN" w:bidi="ar"/>
              </w:rPr>
              <w:t xml:space="preserve">#</w:t>
            </w:r>
            <w:r>
              <w:rPr>
                <w:rStyle w:val="966"/>
                <w:rFonts w:hint="eastAsia" w:ascii="宋体" w:hAnsi="宋体" w:cs="宋体"/>
                <w:color w:val="auto"/>
                <w:sz w:val="21"/>
                <w:szCs w:val="21"/>
                <w:lang w:val="en-US" w:eastAsia="zh-CN" w:bidi="ar"/>
              </w:rPr>
              <w:t xml:space="preserve">5</w:t>
            </w:r>
            <w:r>
              <w:rPr>
                <w:rStyle w:val="966"/>
                <w:rFonts w:hint="eastAsia" w:ascii="宋体" w:hAnsi="宋体" w:eastAsia="宋体" w:cs="宋体"/>
                <w:color w:val="auto"/>
                <w:sz w:val="21"/>
                <w:szCs w:val="21"/>
                <w:lang w:val="en-US" w:eastAsia="zh-CN" w:bidi="ar"/>
              </w:rPr>
              <w:t xml:space="preserve">、侧板：采用≥1.0mm冷轧钢板焊接成型，表面经高压静电喷涂环氧树脂防护层，耐酸碱，耐腐蚀处理；</w:t>
            </w:r>
            <w:r>
              <w:rPr>
                <w:rStyle w:val="966"/>
                <w:rFonts w:hint="eastAsia" w:ascii="宋体" w:hAnsi="宋体" w:eastAsia="宋体" w:cs="宋体"/>
                <w:color w:val="auto"/>
                <w:sz w:val="21"/>
                <w:szCs w:val="21"/>
                <w:lang w:val="en-US" w:eastAsia="zh-CN" w:bidi="ar"/>
              </w:rPr>
              <w:br/>
            </w:r>
            <w:r>
              <w:rPr>
                <w:rStyle w:val="966"/>
                <w:rFonts w:hint="eastAsia" w:ascii="宋体" w:hAnsi="宋体" w:eastAsia="宋体" w:cs="宋体"/>
                <w:color w:val="auto"/>
                <w:sz w:val="21"/>
                <w:szCs w:val="21"/>
                <w:lang w:val="en-US" w:eastAsia="zh-CN" w:bidi="ar"/>
              </w:rPr>
              <w:t xml:space="preserve">#</w:t>
            </w:r>
            <w:r>
              <w:rPr>
                <w:rStyle w:val="966"/>
                <w:rFonts w:hint="eastAsia" w:ascii="宋体" w:hAnsi="宋体" w:cs="宋体"/>
                <w:color w:val="auto"/>
                <w:sz w:val="21"/>
                <w:szCs w:val="21"/>
                <w:lang w:val="en-US" w:eastAsia="zh-CN" w:bidi="ar"/>
              </w:rPr>
              <w:t xml:space="preserve">6</w:t>
            </w:r>
            <w:r>
              <w:rPr>
                <w:rStyle w:val="966"/>
                <w:rFonts w:hint="eastAsia" w:ascii="宋体" w:hAnsi="宋体" w:eastAsia="宋体" w:cs="宋体"/>
                <w:color w:val="auto"/>
                <w:sz w:val="21"/>
                <w:szCs w:val="21"/>
                <w:lang w:val="en-US" w:eastAsia="zh-CN" w:bidi="ar"/>
              </w:rPr>
              <w:t xml:space="preserve">、前门板：内置衬板，整体采用≥1.0mm冷轧钢板焊接成型，表面经高压静电喷涂环氧树脂防护层，耐酸碱，耐腐蚀处理；后门板：采用≥1.0mm冷轧钢板焊接成型，表面经高压静电喷涂环氧树脂防护层，耐酸碱，耐腐蚀处理，通过搭扣锁与柜体连接，拆卸方便；</w:t>
            </w:r>
            <w:r>
              <w:rPr>
                <w:rStyle w:val="966"/>
                <w:rFonts w:hint="eastAsia" w:ascii="宋体" w:hAnsi="宋体" w:eastAsia="宋体" w:cs="宋体"/>
                <w:color w:val="auto"/>
                <w:sz w:val="21"/>
                <w:szCs w:val="21"/>
                <w:lang w:val="en-US" w:eastAsia="zh-CN" w:bidi="ar"/>
              </w:rPr>
              <w:br/>
            </w:r>
            <w:r>
              <w:rPr>
                <w:rStyle w:val="966"/>
                <w:rFonts w:hint="eastAsia" w:ascii="宋体" w:hAnsi="宋体" w:eastAsia="宋体" w:cs="宋体"/>
                <w:color w:val="auto"/>
                <w:sz w:val="21"/>
                <w:szCs w:val="21"/>
                <w:lang w:val="en-US" w:eastAsia="zh-CN" w:bidi="ar"/>
              </w:rPr>
              <w:t xml:space="preserve">#</w:t>
            </w:r>
            <w:r>
              <w:rPr>
                <w:rStyle w:val="966"/>
                <w:rFonts w:hint="eastAsia" w:ascii="宋体" w:hAnsi="宋体" w:cs="宋体"/>
                <w:color w:val="auto"/>
                <w:sz w:val="21"/>
                <w:szCs w:val="21"/>
                <w:lang w:val="en-US" w:eastAsia="zh-CN" w:bidi="ar"/>
              </w:rPr>
              <w:t xml:space="preserve">7</w:t>
            </w:r>
            <w:r>
              <w:rPr>
                <w:rStyle w:val="966"/>
                <w:rFonts w:hint="eastAsia" w:ascii="宋体" w:hAnsi="宋体" w:eastAsia="宋体" w:cs="宋体"/>
                <w:color w:val="auto"/>
                <w:sz w:val="21"/>
                <w:szCs w:val="21"/>
                <w:lang w:val="en-US" w:eastAsia="zh-CN" w:bidi="ar"/>
              </w:rPr>
              <w:t xml:space="preserve">、底座：采用≥1.0mm冷轧钢板焊接成型，表面经高压静电喷涂环氧树脂防护层，耐酸碱，耐腐蚀处理，底部配置调节脚，减少与地面摩擦；</w:t>
            </w:r>
            <w:r>
              <w:rPr>
                <w:rStyle w:val="966"/>
                <w:rFonts w:hint="eastAsia" w:ascii="宋体" w:hAnsi="宋体" w:eastAsia="宋体" w:cs="宋体"/>
                <w:color w:val="auto"/>
                <w:sz w:val="21"/>
                <w:szCs w:val="21"/>
                <w:lang w:val="en-US" w:eastAsia="zh-CN" w:bidi="ar"/>
              </w:rPr>
              <w:br/>
            </w:r>
            <w:r>
              <w:rPr>
                <w:rStyle w:val="966"/>
                <w:rFonts w:hint="eastAsia" w:ascii="宋体" w:hAnsi="宋体" w:eastAsia="宋体" w:cs="宋体"/>
                <w:color w:val="auto"/>
                <w:sz w:val="21"/>
                <w:szCs w:val="21"/>
                <w:highlight w:val="none"/>
                <w:lang w:val="en-US" w:eastAsia="zh-CN" w:bidi="ar"/>
              </w:rPr>
              <w:t xml:space="preserve">▲</w:t>
            </w:r>
            <w:r>
              <w:rPr>
                <w:rStyle w:val="966"/>
                <w:rFonts w:hint="eastAsia" w:ascii="宋体" w:hAnsi="宋体" w:cs="宋体"/>
                <w:color w:val="auto"/>
                <w:sz w:val="21"/>
                <w:szCs w:val="21"/>
                <w:highlight w:val="none"/>
                <w:lang w:val="en-US" w:eastAsia="zh-CN" w:bidi="ar"/>
              </w:rPr>
              <w:t xml:space="preserve">8</w:t>
            </w:r>
            <w:r>
              <w:rPr>
                <w:rStyle w:val="966"/>
                <w:rFonts w:hint="eastAsia" w:ascii="宋体" w:hAnsi="宋体" w:eastAsia="宋体" w:cs="宋体"/>
                <w:color w:val="auto"/>
                <w:sz w:val="21"/>
                <w:szCs w:val="21"/>
                <w:highlight w:val="none"/>
                <w:lang w:val="en-US" w:eastAsia="zh-CN" w:bidi="ar"/>
              </w:rPr>
              <w:t xml:space="preserve">、技术要求</w:t>
            </w:r>
            <w:r>
              <w:rPr>
                <w:rStyle w:val="966"/>
                <w:rFonts w:hint="eastAsia" w:ascii="宋体" w:hAnsi="宋体" w:cs="宋体"/>
                <w:color w:val="auto"/>
                <w:sz w:val="21"/>
                <w:szCs w:val="21"/>
                <w:highlight w:val="none"/>
                <w:lang w:val="en-US" w:eastAsia="zh-CN" w:bidi="ar"/>
              </w:rPr>
              <w:t xml:space="preserve">满足</w:t>
            </w:r>
            <w:r>
              <w:rPr>
                <w:rStyle w:val="966"/>
                <w:rFonts w:hint="eastAsia" w:ascii="宋体" w:hAnsi="宋体" w:eastAsia="宋体" w:cs="宋体"/>
                <w:color w:val="auto"/>
                <w:sz w:val="21"/>
                <w:szCs w:val="21"/>
                <w:highlight w:val="none"/>
                <w:lang w:val="en-US" w:eastAsia="zh-CN" w:bidi="ar"/>
              </w:rPr>
              <w:t xml:space="preserve">GB/T 24820-2024实验室家具通用技术标准要求检测结果为符合要求。</w:t>
            </w:r>
            <w:r>
              <w:rPr>
                <w:rStyle w:val="970"/>
                <w:rFonts w:hint="eastAsia" w:ascii="宋体" w:hAnsi="宋体" w:eastAsia="宋体" w:cs="宋体"/>
                <w:color w:val="auto"/>
                <w:sz w:val="21"/>
                <w:szCs w:val="21"/>
                <w:highlight w:val="none"/>
                <w:lang w:val="en-US" w:eastAsia="zh-CN" w:bidi="ar"/>
              </w:rPr>
              <w:t xml:space="preserve">（提供具有CMA标识的第三方检测机构出具的检测报告原件扫描件）</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A1-07</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上水装置</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#1、用于连接地面水管及水龙头，上水管两端接头采用201不锈钢螺帽铜芯，外管是304钢丝+尼龙丝混编的、内管采用三元内管、角阀是钻石轮（塑料包铁）、阀芯和阀体均为铜制；</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8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A1-08</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下水装置</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#1、采用PP材质专用连接管，配有防虹吸，防阻塞装置，不锈钢卡扣连接，安装方便不渗漏；</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A1-09</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★三联水嘴</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主体：加厚铜质；涂层：高亮度环氧树脂涂层，耐腐蚀、耐热，防紫外线辐射；陶瓷阀芯90°旋转，使用寿命开关≥50万次，静态最大耐压20巴；经久耐用，不会出现渗水、断裂现象；鹅颈管可360°旋转；开关旋钮：高密度PP，人体工学设计，手感舒适；</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A1-10</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教师椅</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≥L500mm*W500mm*H800mm； 靠背及下座采用高密度网布格，阻燃、舒适、回弹性好；面料为网布格.依照人体工程学设计，骨架钢管电镀，气动升降</w:t>
            </w: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eastAsia="宋体" w:cs="宋体"/>
                <w:i w:val="0"/>
                <w:iCs w:val="0"/>
                <w:color w:val="auto"/>
                <w:sz w:val="21"/>
                <w:szCs w:val="21"/>
                <w:u w:val="none"/>
                <w:lang w:val="en-US" w:eastAsia="zh-CN" w:bidi="ar"/>
              </w:rPr>
              <w:t xml:space="preserve">                                                                                                                                                                                                                                                                </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189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A1-11</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单口洗眼器</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#1、台面安装方式：平时放置于台面，紧急使用时可随意抽起，使用方便；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洗眼喷头：具有过滤泡棉及防尘功能，上面防尘盖平常可防尘，使用时可随时被水冲开，并降低突然打开时短暂的高水压，避免冲伤眼睛；控水阀采用黄铜制作，经高亮度环氧树脂涂层处理，外观美观大方，阀门可自动关闭，密封可靠；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供水软管：采用1.5米长不锈钢软管。技术参数公称压力：0.4MPA密封压力：0.45MPA流量：≧11L/min工作压力：0.2-0.4MPA适用条件：常温纯水或符合卫生标准用水安装说明：1）将固定托盘安装固定于台面上。2）将供水软管锥度母端（内装胶垫）从固定托盘下部穿过，与控水阀G1/2接头部位连接；</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1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A1-12</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智能云盒</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#1.天线类型：内置天线；CPU参数：双核心、四线程、≥2.2GHZ、三级缓存4MB；RAM：≥8GB；</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#2.内置硬盘：≥128GB，可扩展到2TB，支持截屏图片、录制视频的存储与调用；按键：电源键 *1，录制键 *1；HDMI接口：具备≥2个HDMI输入接口，支持电脑、摄像头、实物展台等外部设备的有线接入；具备≥2个HDMI输出接口，支持输出到≥2个不同的大屏端；影音接口：</w:t>
            </w:r>
            <w:r>
              <w:rPr>
                <w:rFonts w:hint="eastAsia" w:ascii="宋体" w:hAnsi="宋体" w:eastAsia="宋体" w:cs="宋体"/>
                <w:i w:val="0"/>
                <w:iCs w:val="0"/>
                <w:strike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1，支持麦克风的连接；</w:t>
            </w:r>
            <w:r>
              <w:rPr>
                <w:rFonts w:hint="eastAsia" w:ascii="宋体" w:hAnsi="宋体" w:eastAsia="宋体" w:cs="宋体"/>
                <w:i w:val="0"/>
                <w:iCs w:val="0"/>
                <w:strike w:val="0"/>
                <w:color w:val="auto"/>
                <w:sz w:val="21"/>
                <w:szCs w:val="21"/>
                <w:u w:val="none"/>
                <w:lang w:val="en-US" w:eastAsia="zh-CN" w:bidi="ar"/>
              </w:rPr>
              <w:t xml:space="preserve">≥</w:t>
            </w:r>
            <w:r>
              <w:rPr>
                <w:rFonts w:hint="eastAsia" w:ascii="宋体" w:hAnsi="宋体" w:eastAsia="宋体" w:cs="宋体"/>
                <w:i w:val="0"/>
                <w:iCs w:val="0"/>
                <w:strike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，支持音箱的连接；USB接口：具备≥3个USB接口，支持U盘、鼠标、键盘、摄像头的接入；内置无线AP：内置无线AP模块，工作频段：2.4GHz和5GHz；最大无线速率≥1.3Gbps；</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#3.网络接口：具备≥3个10/100/1000Mbps以太网RJ45数据接口，支持WAN口外接网线接入互联网，或LAN口外接网线输出网络数据；网络工作模式：支持无线路由器、无线交换和网络终端</w:t>
            </w:r>
            <w:r>
              <w:rPr>
                <w:rFonts w:hint="eastAsia" w:ascii="宋体" w:hAnsi="宋体" w:cs="宋体"/>
                <w:i w:val="0"/>
                <w:iCs w:val="0"/>
                <w:strike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模式；HDMI输出适配：支持多种显示分辨率，可自动适配外接的大屏端分辨率，最高支持3840*2160分辨率；</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#4.支持定时重启功能，投屏传输距离大于100米。</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27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A1-13</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课堂交互系统软件</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#1.多语言切换：系统支持多种语言模式的快速切换；</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屏幕工具条：用户可直接在触控显示屏上触控点击系统工具条，或通过鼠标点击工具条进行操作，工具条具有截屏、录制、广播、布局、切屏、批注、白板、互动等功能按钮，并显示时间、设备名称、网络IP等信息。</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#3.软件遥控器：码下载遥控器APP即可将移动终端作为控制端，软件控制端支持截屏、录制、广播、布局、批注、白板、互动等功能按钮，支持Windows、Android、iOS系统设备安装控制端软件。</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#4.全屏缩放：支持在遥控器APP端或触控显示屏端对显示画面进行缩小、放大操作，能够对单屏或多屏画面进行放大。</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#5.国产化支持：支持国产操作系统和国产CPU环境下，实现</w:t>
            </w:r>
            <w:r>
              <w:rPr>
                <w:rFonts w:hint="eastAsia" w:ascii="宋体" w:hAnsi="宋体" w:eastAsia="宋体" w:cs="宋体"/>
                <w:i w:val="0"/>
                <w:iCs w:val="0"/>
                <w:strike w:val="0"/>
                <w:color w:val="auto"/>
                <w:sz w:val="21"/>
                <w:szCs w:val="21"/>
                <w:u w:val="none"/>
                <w:lang w:val="en-US" w:eastAsia="zh-CN" w:bidi="ar"/>
              </w:rPr>
              <w:t xml:space="preserve">≥10</w:t>
            </w:r>
            <w:r>
              <w:rPr>
                <w:rFonts w:hint="eastAsia" w:ascii="宋体" w:hAnsi="宋体" w:eastAsia="宋体" w:cs="宋体"/>
                <w:i w:val="0"/>
                <w:iCs w:val="0"/>
                <w:color w:val="auto"/>
                <w:sz w:val="21"/>
                <w:szCs w:val="21"/>
                <w:u w:val="none"/>
                <w:lang w:val="en-US" w:eastAsia="zh-CN" w:bidi="ar"/>
              </w:rPr>
              <w:t xml:space="preserve">个国产电脑同时接入教学互动终端，≥10个画面同时显示。</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实验展播：支持通过网络把网络摄像机信号接入，在教学互动终端上直接读取显示。可以通过APP遥控器或屏幕工具栏对摄像机预置≥20个机位，使用时可以对摄像机快速切换机位，支持调整摄像机转动速度的快慢。</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7.文件读取：系统支持查看U盘、云盘、内置硬盘和遥控器APP上传的本地文件和云空间下载文件，支持将外接U盘中的图片、视频、音频、文档等文件资料直接上屏展示；支持通过截屏和录制将存储在图库（U盘、云盘、内置硬盘）中的图片、视频直接上屏展示。</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8.设备和文件分类：系统自动对设备（有线接入设备、无线投屏设备）、文件（U盘、云盘、内置硬盘、遥控器APP上传的本地文件和云空间下载文件）、分组（分组端教学互动终端）、网络摄像机、手写板等设备进行分类；支持对已连接的设备进行置顶、重命名、移动至分组、移除等操作。</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#9.多种画面布局显示：支持≥10个投屏设备同时接入教学互动终端，≥10个画面同时显示，且支持Auto（自适应）画面。一键截屏：支持一键截取当前屏幕的显示画面。</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微课录制：支持多种方式开启微课录制，如教学互动终端的“录制”按键、屏幕工具条的“录制”按钮和遥控器APP中的“录制”按钮；支持屏幕多画面和外接麦克风声音同步录入，提供720P和1080P视频显示格式可选，录制的视频可保存在外接U盘、云盘或内置硬盘中，支持存储空间不足时的文字提醒功能；录制结果为一个标准MP4格式的视频，录制过程中可随时暂停、停止。</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.白板批注：系统提供画笔、激光笔、宽度、板擦、清空、撤销、重做、聚焦、随写板等工具，支持普通画笔书写、荧光画笔书写和激光笔定位。</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.App应用：支持第三方应用程序嵌入式安装在教学互动终端，无需借助教师平板可直接开启师生互动软件，完成课堂教学互动过程。</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反向控制：支持在触控显示屏上对HDMI有线接入的Windows电脑进行反向控制操作，支持无线投屏的部分Android、Windows设备进行反向控制操作，具有选择开启或关闭功能按钮，同时还支持在显示终端大屏触摸或通过教学互动终端外接鼠标以及遥控器软件进行反向控制。</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.双屏显示：支持教学互动终端外接≥2个显示屏，显示模式包含镜像模式、扩展模式</w:t>
            </w:r>
            <w:r>
              <w:rPr>
                <w:rFonts w:hint="eastAsia" w:ascii="宋体" w:hAnsi="宋体" w:cs="宋体"/>
                <w:i w:val="0"/>
                <w:iCs w:val="0"/>
                <w:strike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显示效果。</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.课程录播：支持添加追踪摄像机并对摄像机镜头和焦距进行控制。支持常态录播模式、电影模式、手动导播模式。</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63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A1-14</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互动音频处理器</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#1.音频处理部分和功率放大器集成到机箱内；具有≥4路48V供电麦克风输入； 具有≥4路平衡式线性输入，可接低延时无线麦克风输入（任何频段），无线麦克风和有线麦克风支持闪避设置；具有≥6路平衡式线性输出；</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预留1路两通道USB音频接口，可传输AEC-REF、AEC-OUT数据，可整合到电脑作为声卡，无缝对接在线教学平台及软会议平台音频系统；2路（左右声道）功放输出，每通道支持2路并联，每路最大100W；物理面板具有便于远程调试、升级的配对按键；支持远程控制和音频监听、对讲功能。</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A1-15</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全向麦克风</w:t>
            </w:r>
            <w:r/>
          </w:p>
        </w:tc>
        <w:tc>
          <w:tcPr>
            <w:tcW w:w="659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#1.传感器类型：电容式；指向性：心型；频响：50Hz~16kHz；灵敏度：-47dB±3dB(0dB=1V/Pa@1kHz)；输出阻抗：2.2kΩ（@1kHz）；</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A1-16</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指向麦克风</w:t>
            </w:r>
            <w:r/>
          </w:p>
        </w:tc>
        <w:tc>
          <w:tcPr>
            <w:tcW w:w="659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#1.传感器类型：Φ24背极式驻极体电容极头；电路特征：JFET阻抗变换；电子平衡；指向性：360度全向拾音，拾音半径可达8米；频响：50Hz-20kHz；灵敏度：-44±3dB (0dB=1V/Pa@1kHz)。</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A1-17</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音箱</w:t>
            </w:r>
            <w:r/>
          </w:p>
        </w:tc>
        <w:tc>
          <w:tcPr>
            <w:tcW w:w="659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#1.系统类型：单6.5"专业全频音箱；阻抗：8Ω；频响： 50Hz-18kHz；额定功率： ≥40W；承受功率：≥100W。</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w:t>
            </w:r>
            <w:r/>
          </w:p>
        </w:tc>
      </w:tr>
      <w:tr>
        <w:trPr>
          <w:trHeight w:val="162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A1-18</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跟踪摄像机</w:t>
            </w:r>
            <w:r/>
          </w:p>
        </w:tc>
        <w:tc>
          <w:tcPr>
            <w:tcW w:w="659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#1.支持4K超高清分辨率图像，最大可提供4K@30fps/25fps图像编码输出，同时向下兼容1080p，720p等分辨率；传感器要求：传感器尺寸≥1/2.8英寸, 有效像素≥800万；</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#2.内置图像识别与跟踪算法</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镜头焦距：8±0.3mm；</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#3.摄像机可同时输出≥4路码流的图像，支持全景画面和特写画面同时输出，且至少一路视频支持自动导切视频输出，全景画面和特写画面分辨率同时支持1920x1080@25fps以上；具备畸变矫正功能。</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35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A1-19</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云台摄像机</w:t>
            </w:r>
            <w:r/>
          </w:p>
        </w:tc>
        <w:tc>
          <w:tcPr>
            <w:tcW w:w="6599"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#1.视频分辨率：1080P60，1080P50，1080P30，1080P25，720P60，720P50；200万有效像素高品质HD CMOS传感器；镜头：12x, f3.5mm~42.3mm, F1.8~F2.8；数字变焦：16x；数字降噪：可同时应用2D和3D降噪算法；</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#2.图像信噪比：≥55dB；视场角：水平72.5°~6.9°，垂直44.8°~3.9°；转动范围：水平±170°，垂直-30°~+90°。</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81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A1-20</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★互动电视机</w:t>
            </w:r>
            <w:r/>
          </w:p>
        </w:tc>
        <w:tc>
          <w:tcPr>
            <w:tcW w:w="659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#1.屏幕物理尺寸≥55吋；屏幕分辨率≥3840*2160；屏幕刷新率≥60Hz；屏幕可视角度≥±176度；整机功耗≤120W。</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85"/>
        </w:trPr>
        <w:tc>
          <w:tcPr>
            <w:gridSpan w:val="3"/>
            <w:tcW w:w="42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A2、智能控制系统</w:t>
            </w:r>
            <w:r/>
          </w:p>
        </w:tc>
        <w:tc>
          <w:tcPr>
            <w:tcW w:w="354"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W w:w="365"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117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A2-01</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智能系统控制箱</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L</w:t>
            </w:r>
            <w:r>
              <w:rPr>
                <w:rFonts w:hint="eastAsia" w:ascii="宋体" w:hAnsi="宋体" w:eastAsia="宋体" w:cs="宋体"/>
                <w:i w:val="0"/>
                <w:iCs w:val="0"/>
                <w:strike w:val="0"/>
                <w:color w:val="auto"/>
                <w:sz w:val="21"/>
                <w:szCs w:val="21"/>
                <w:u w:val="none"/>
                <w:lang w:val="en-US" w:eastAsia="zh-CN" w:bidi="ar"/>
              </w:rPr>
              <w:t xml:space="preserve">530</w:t>
            </w:r>
            <w:r>
              <w:rPr>
                <w:rFonts w:hint="eastAsia" w:ascii="宋体" w:hAnsi="宋体" w:eastAsia="宋体" w:cs="宋体"/>
                <w:i w:val="0"/>
                <w:iCs w:val="0"/>
                <w:strike w:val="0"/>
                <w:color w:val="auto"/>
                <w:sz w:val="21"/>
                <w:szCs w:val="21"/>
                <w:u w:val="none"/>
                <w:lang w:val="en-US" w:eastAsia="zh-CN" w:bidi="ar"/>
              </w:rPr>
              <w:t xml:space="preserve">m</w:t>
            </w:r>
            <w:r>
              <w:rPr>
                <w:rFonts w:hint="eastAsia" w:ascii="宋体" w:hAnsi="宋体" w:eastAsia="宋体" w:cs="宋体"/>
                <w:i w:val="0"/>
                <w:iCs w:val="0"/>
                <w:color w:val="auto"/>
                <w:sz w:val="21"/>
                <w:szCs w:val="21"/>
                <w:u w:val="none"/>
                <w:lang w:val="en-US" w:eastAsia="zh-CN" w:bidi="ar"/>
              </w:rPr>
              <w:t xml:space="preserve">m*W</w:t>
            </w:r>
            <w:r>
              <w:rPr>
                <w:rFonts w:hint="eastAsia" w:ascii="宋体" w:hAnsi="宋体" w:cs="宋体"/>
                <w:i w:val="0"/>
                <w:iCs w:val="0"/>
                <w:strike w:val="0"/>
                <w:color w:val="auto"/>
                <w:sz w:val="21"/>
                <w:szCs w:val="21"/>
                <w:u w:val="none"/>
                <w:lang w:val="en-US" w:eastAsia="zh-CN" w:bidi="ar"/>
              </w:rPr>
              <w:t xml:space="preserve">200</w:t>
            </w:r>
            <w:r>
              <w:rPr>
                <w:rFonts w:hint="eastAsia" w:ascii="宋体" w:hAnsi="宋体" w:eastAsia="宋体" w:cs="宋体"/>
                <w:i w:val="0"/>
                <w:iCs w:val="0"/>
                <w:color w:val="auto"/>
                <w:sz w:val="21"/>
                <w:szCs w:val="21"/>
                <w:u w:val="none"/>
                <w:lang w:val="en-US" w:eastAsia="zh-CN" w:bidi="ar"/>
              </w:rPr>
              <w:t xml:space="preserve">mm*H850mm；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控制箱内置：3P总电源开关1组，3P风机开关1组，学生总控2P漏电保护器一组，交流电源开关1组，单片机控制器及功能扩展模块1套，单片机保护模块1个,风机控制系统1套，急停控制系统1套；配有关键安全系统长时间不操作，自动切断总电源。电源分组控制系统1套、照明分组控制系统1套、供排水分组控制系统1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摇臂控制系统：教师通过控制箱或移动设备对全室摇臂进行单独或分组控制；电源控制系统：教师通过控制箱或移动设备对全室220V高压及0-30V低压进行单独或分组控制；照明控制系统：教师通过控制箱或移动设备对全室照明进行单独或分组控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#4、通风控制系统：标配高性能矢量控制变频器</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给水系统：每个学生终端配置一组水流检测传感器，当供水时自动进行排水控制，摇臂下方配有插拔式自动锁紧供水接口，接口与学生水槽柜之间通过硅胶软管连接，即插即用，用完拔下收起即可；排水系统：排水由智能化控制系统集中控制，摇臂下方配有插拔式自动锁紧排水接口，接口与学生水槽柜通过硅胶软管连接，即插即用，用完拔下收起即可。供排水管具有到位检测功能，水管未拔下，摇臂不能收起（防摇臂误操作收起检测系统）；</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89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A2-02</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智能控制屏</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#1、规格：≥10寸高分辨率工业触摸屏，集中控制系统，可执行各选项控制（配一启动按钮开关和一急停开关）；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摇臂控制：对全室摇臂进行单独或分组控制（上升、下降或暂停，上升或下降到底后摇臂会自动停止），具有防卡，防夹功能；电源控制：对全室220V进行单独或分组控制；照明控制：对全室照明进行单独或分组控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#3、通风控制：触摸数字无极变频控制，具有频率数字显示功能，可精确控制通风风量；供水控制：对全室供排水进行控制；</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A2-03</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吊装控制系统</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#1、APP登录，网络注册后进入系统，方便用户找回忘记的密码；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#2、APP可控制总电源的开关；可控制学生实验用低压直流电源（0-30V），学生也可自己调节；可显示当前温度、相对湿度及当前时间；同时还可控制水/电/风/灯的开启与关闭等；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#3、APP移动设备与智能控制屏可以同步操作；</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A2-04</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温湿度探测系统</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#1、智能系统控制箱内配置精密温湿度传感器，实时监测室内的温度和湿度，实时显示当前环境的温度和湿度；</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85"/>
        </w:trPr>
        <w:tc>
          <w:tcPr>
            <w:gridSpan w:val="3"/>
            <w:tcW w:w="42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A3、顶部集成供给系统</w:t>
            </w:r>
            <w:r/>
          </w:p>
        </w:tc>
        <w:tc>
          <w:tcPr>
            <w:tcW w:w="354"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W w:w="365"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98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A3-01</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吊装主体框架</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#1、舱体规格：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L1200mm*W500mm*H</w:t>
            </w:r>
            <w:r>
              <w:rPr>
                <w:rFonts w:hint="eastAsia" w:ascii="宋体" w:hAnsi="宋体" w:cs="宋体"/>
                <w:i w:val="0"/>
                <w:iCs w:val="0"/>
                <w:strike w:val="0"/>
                <w:color w:val="auto"/>
                <w:sz w:val="21"/>
                <w:szCs w:val="21"/>
                <w:u w:val="none"/>
                <w:lang w:val="en-US" w:eastAsia="zh-CN" w:bidi="ar"/>
              </w:rPr>
              <w:t xml:space="preserve">200</w:t>
            </w:r>
            <w:r>
              <w:rPr>
                <w:rFonts w:hint="eastAsia" w:ascii="宋体" w:hAnsi="宋体" w:eastAsia="宋体" w:cs="宋体"/>
                <w:i w:val="0"/>
                <w:iCs w:val="0"/>
                <w:color w:val="auto"/>
                <w:sz w:val="21"/>
                <w:szCs w:val="21"/>
                <w:u w:val="none"/>
                <w:lang w:val="en-US" w:eastAsia="zh-CN" w:bidi="ar"/>
              </w:rPr>
              <w:t xml:space="preserve">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#2、整体模块化设计,框架采用冷轧钢板，表面经环氧树脂粉末喷涂高温固化处理，承重性能强且耐酸碱、耐腐蚀；两侧设置铝合金保护罩；端头采用整体ABS注塑成型；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▲3、冷轧钢板技术要求满足GB/T10125-2021《人造气氛腐蚀试验盐雾试验》和GB/T6461-2002《金属基体上金属和其他无机覆盖层经腐蚀试验后的试样和试件的评级》标准测试：测试结果符合10级要求；</w:t>
            </w:r>
            <w:r>
              <w:rPr>
                <w:rStyle w:val="970"/>
                <w:rFonts w:hint="eastAsia" w:ascii="宋体" w:hAnsi="宋体" w:eastAsia="宋体" w:cs="宋体"/>
                <w:color w:val="auto"/>
                <w:sz w:val="21"/>
                <w:szCs w:val="21"/>
                <w:lang w:val="en-US" w:eastAsia="zh-CN" w:bidi="ar"/>
              </w:rPr>
              <w:t xml:space="preserve">（提供具有CMA标识的第三方检测机构出具的检测报告原件扫描件）</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A3-02</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主体保护罩</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#1、铝合金型材，辅件采用冷轧钢板，保护主体构架内的供应系统的安全，防止灰尘进入罩体内；</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▲2、冷轧钢板技术要求满足GB/T4893.8</w:t>
            </w:r>
            <w:r>
              <w:rPr>
                <w:rFonts w:hint="eastAsia" w:ascii="宋体" w:hAnsi="宋体" w:cs="宋体"/>
                <w:i w:val="0"/>
                <w:iCs w:val="0"/>
                <w:color w:val="auto"/>
                <w:sz w:val="21"/>
                <w:szCs w:val="21"/>
                <w:u w:val="none"/>
                <w:lang w:val="en-US" w:eastAsia="zh-CN" w:bidi="ar"/>
              </w:rPr>
              <w:t xml:space="preserve">-2023</w:t>
            </w:r>
            <w:r>
              <w:rPr>
                <w:rFonts w:hint="eastAsia" w:ascii="宋体" w:hAnsi="宋体" w:eastAsia="宋体" w:cs="宋体"/>
                <w:i w:val="0"/>
                <w:iCs w:val="0"/>
                <w:color w:val="auto"/>
                <w:sz w:val="21"/>
                <w:szCs w:val="21"/>
                <w:u w:val="none"/>
                <w:lang w:val="en-US" w:eastAsia="zh-CN" w:bidi="ar"/>
              </w:rPr>
              <w:t xml:space="preserve">家具表面漆膜耐磨性能测定法标准测试：漆膜耐磨性能测试中等级1的要求；</w:t>
            </w:r>
            <w:r>
              <w:rPr>
                <w:rStyle w:val="970"/>
                <w:rFonts w:hint="eastAsia" w:ascii="宋体" w:hAnsi="宋体" w:eastAsia="宋体" w:cs="宋体"/>
                <w:color w:val="auto"/>
                <w:sz w:val="21"/>
                <w:szCs w:val="21"/>
                <w:lang w:val="en-US" w:eastAsia="zh-CN" w:bidi="ar"/>
              </w:rPr>
              <w:t xml:space="preserve">（提供具有CMA标识的第三方检测机构出具的检测报告原件扫描件）</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16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A3-03</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吊装端头</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#1、整体采用ABS材料，抗老化、易清洁；模具一体成型，头部配备双色LED工作状态指示灯；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▲2、ABS原材料技术要求满足GB/T 1843-2008、GB/T4207-2022标准检测：1）冲击强度（无缺口）：不破坏；试样未断裂，仅弯曲并穿过支座，可能兼有应力发白。2）拉伸强度：不破坏；试样未断裂</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3）弯曲强度：不破坏；试样未断裂；4）阻燃+水平+垂直：符合V-0等级；5）漏电起痕：等级5级。</w:t>
            </w:r>
            <w:r>
              <w:rPr>
                <w:rStyle w:val="970"/>
                <w:rFonts w:hint="eastAsia" w:ascii="宋体" w:hAnsi="宋体" w:eastAsia="宋体" w:cs="宋体"/>
                <w:color w:val="auto"/>
                <w:sz w:val="21"/>
                <w:szCs w:val="21"/>
                <w:lang w:val="en-US" w:eastAsia="zh-CN" w:bidi="ar"/>
              </w:rPr>
              <w:t xml:space="preserve">（提供具有CMA标识的第三方检测机构出具的检测报告原件扫描件）</w:t>
            </w:r>
            <w:r/>
          </w:p>
        </w:tc>
        <w:tc>
          <w:tcPr>
            <w:tcW w:w="35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W w:w="36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16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A3-04</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智能摇臂升降系统</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#1、摇臂转动系统控制接收信号</w:t>
            </w:r>
            <w:r>
              <w:rPr>
                <w:rFonts w:hint="eastAsia" w:ascii="宋体" w:hAnsi="宋体" w:cs="宋体"/>
                <w:i w:val="0"/>
                <w:iCs w:val="0"/>
                <w:strike w:val="0"/>
                <w:color w:val="auto"/>
                <w:sz w:val="21"/>
                <w:szCs w:val="21"/>
                <w:u w:val="none"/>
                <w:lang w:val="en-US" w:eastAsia="zh-CN" w:bidi="ar"/>
              </w:rPr>
              <w:t xml:space="preserve">支持</w:t>
            </w:r>
            <w:r>
              <w:rPr>
                <w:rFonts w:hint="eastAsia" w:ascii="宋体" w:hAnsi="宋体" w:eastAsia="宋体" w:cs="宋体"/>
                <w:i w:val="0"/>
                <w:iCs w:val="0"/>
                <w:color w:val="auto"/>
                <w:sz w:val="21"/>
                <w:szCs w:val="21"/>
                <w:u w:val="none"/>
                <w:lang w:val="en-US" w:eastAsia="zh-CN" w:bidi="ar"/>
              </w:rPr>
              <w:t xml:space="preserve">远程智能手动和触摸远程无线操作功能，动力采用直流24V静音低速低压电机；                                                                                                                                                                                                                 #2、连接杆采用≥80</w:t>
            </w:r>
            <w:r>
              <w:rPr>
                <w:rFonts w:hint="eastAsia" w:ascii="宋体" w:hAnsi="宋体" w:cs="宋体"/>
                <w:i w:val="0"/>
                <w:iCs w:val="0"/>
                <w:color w:val="auto"/>
                <w:sz w:val="21"/>
                <w:szCs w:val="21"/>
                <w:u w:val="none"/>
                <w:lang w:val="en-US" w:eastAsia="zh-CN" w:bidi="ar"/>
              </w:rPr>
              <w:t xml:space="preserve">mm</w:t>
            </w:r>
            <w:r>
              <w:rPr>
                <w:rFonts w:hint="eastAsia" w:ascii="宋体" w:hAnsi="宋体" w:eastAsia="宋体" w:cs="宋体"/>
                <w:i w:val="0"/>
                <w:iCs w:val="0"/>
                <w:color w:val="auto"/>
                <w:sz w:val="21"/>
                <w:szCs w:val="21"/>
                <w:u w:val="none"/>
                <w:lang w:val="en-US" w:eastAsia="zh-CN" w:bidi="ar"/>
              </w:rPr>
              <w:t xml:space="preserve">*55</w:t>
            </w:r>
            <w:r>
              <w:rPr>
                <w:rFonts w:hint="eastAsia" w:ascii="宋体" w:hAnsi="宋体" w:cs="宋体"/>
                <w:i w:val="0"/>
                <w:iCs w:val="0"/>
                <w:color w:val="auto"/>
                <w:sz w:val="21"/>
                <w:szCs w:val="21"/>
                <w:u w:val="none"/>
                <w:lang w:val="en-US" w:eastAsia="zh-CN" w:bidi="ar"/>
              </w:rPr>
              <w:t xml:space="preserve">mm</w:t>
            </w:r>
            <w:r>
              <w:rPr>
                <w:rFonts w:hint="eastAsia" w:ascii="宋体" w:hAnsi="宋体" w:eastAsia="宋体" w:cs="宋体"/>
                <w:i w:val="0"/>
                <w:iCs w:val="0"/>
                <w:color w:val="auto"/>
                <w:sz w:val="21"/>
                <w:szCs w:val="21"/>
                <w:u w:val="none"/>
                <w:lang w:val="en-US" w:eastAsia="zh-CN" w:bidi="ar"/>
              </w:rPr>
              <w:t xml:space="preserve">*1.8mm铝合金模具一体成型，内部水电分离，功能模块采用注塑模具一体成型，形状为长方形设计；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#3、功能模块可安装高低压电源（低压电源为交直流，可以显示交直流电压）、急停开关、网络接口、USB接口等功能；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#4、系统自带障碍物保护功能，具有防夹，防卡功能，当摇臂在运动的过程中遇到障碍物时会自动停止，具有过流保护功能；</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81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A3-05</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集成功能模块</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#1、采用ABS材质，模具一体成型；模块内部采用双层设计，水电隔离设计，相互不干扰，保证设备安全可靠性；模块内预留高压、低压、网络、USB、举手按键、上下水接口位置；</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85"/>
        </w:trPr>
        <w:tc>
          <w:tcPr>
            <w:tcW w:w="408"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A3-06</w:t>
            </w:r>
            <w:r/>
          </w:p>
        </w:tc>
        <w:tc>
          <w:tcPr>
            <w:tcW w:w="559"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电源供应模块</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#1、接收智能化控制系统控制，内含新国标5孔插座；可以分组或独立控制电源供给；220V；</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160"/>
        </w:trPr>
        <w:tc>
          <w:tcPr>
            <w:tcW w:w="408"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W w:w="559"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#1、学生电源采用耐磨、耐腐蚀、耐高温的PC亮光薄膜面板，可以随意设置电压，准确、快捷。</w:t>
            </w:r>
            <w:r>
              <w:rPr>
                <w:rFonts w:hint="eastAsia" w:ascii="宋体" w:hAnsi="宋体" w:cs="宋体"/>
                <w:i w:val="0"/>
                <w:iCs w:val="0"/>
                <w:color w:val="auto"/>
                <w:sz w:val="21"/>
                <w:szCs w:val="21"/>
                <w:u w:val="none"/>
                <w:lang w:val="en-US" w:eastAsia="zh-CN" w:bidi="ar"/>
              </w:rPr>
              <w:t xml:space="preserve">支持</w:t>
            </w:r>
            <w:r>
              <w:rPr>
                <w:rFonts w:hint="eastAsia" w:ascii="宋体" w:hAnsi="宋体" w:eastAsia="宋体" w:cs="宋体"/>
                <w:i w:val="0"/>
                <w:iCs w:val="0"/>
                <w:color w:val="auto"/>
                <w:sz w:val="21"/>
                <w:szCs w:val="21"/>
                <w:u w:val="none"/>
                <w:lang w:val="en-US" w:eastAsia="zh-CN" w:bidi="ar"/>
              </w:rPr>
              <w:t xml:space="preserve">微电脑控制；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#2、直流稳压输出：0-16V，额定电流2A；16-30V，额定电流1A。最小调节单元0.1V。交流电压输出：0~18V，额定电流2A；18V-30V，额定电流1A。最小调节单元1V。交直流电源具有过载保护智能检测功能。采用按钮复位功能；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#3、电源采用液晶屏，显示电压，电流，温度，湿度等信息；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#4、学生低压电源都可接收主控电源发送的锁定信号，在锁定标识显示后，学生接收教师输送的设定电源电压，教师锁定时，学生自己无法操作，这样可避免学生的误操作，可以分组或独立控制；</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85"/>
        </w:trPr>
        <w:tc>
          <w:tcPr>
            <w:tcW w:w="408"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W w:w="559"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#1、采用485网络模块接口、USB接口，即插即用；</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8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A3-07</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保险模块</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#1、系统出现异常时，自动切断电源，确保实验操作时的安全性；</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8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A3-08</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急停装置</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#1、铝合金材质，在水电系统出现故障时紧急制动，确保实验操作时的安全性；</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8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A3-09</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供电线路</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#1、模块化设计，每组模块间采用活接式连接，方便安装、检修，采用2.5mm²电线进行系统布线；</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A3-10</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照明系统</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#1、接收智能化控制系统控制，功能面板采用≥1200</w:t>
            </w:r>
            <w:r>
              <w:rPr>
                <w:rFonts w:hint="eastAsia" w:ascii="宋体" w:hAnsi="宋体" w:cs="宋体"/>
                <w:i w:val="0"/>
                <w:iCs w:val="0"/>
                <w:color w:val="auto"/>
                <w:sz w:val="21"/>
                <w:szCs w:val="21"/>
                <w:u w:val="none"/>
                <w:lang w:val="en-US" w:eastAsia="zh-CN" w:bidi="ar"/>
              </w:rPr>
              <w:t xml:space="preserve">mm</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60</w:t>
            </w:r>
            <w:r>
              <w:rPr>
                <w:rFonts w:hint="eastAsia" w:ascii="宋体" w:hAnsi="宋体" w:eastAsia="宋体" w:cs="宋体"/>
                <w:i w:val="0"/>
                <w:iCs w:val="0"/>
                <w:color w:val="auto"/>
                <w:sz w:val="21"/>
                <w:szCs w:val="21"/>
                <w:u w:val="none"/>
                <w:lang w:val="en-US" w:eastAsia="zh-CN" w:bidi="ar"/>
              </w:rPr>
              <w:t xml:space="preserve">mm，配置LED日光灯1根，每根15W；灯罩采用PC一次成型，设计安装磨砂透明均光板，不仅能使光线扩散均匀更能起到安全防护作用；</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8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A3-11</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举手系统</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#1、学生举手系统，通过按压电源面板“举手”按键，端头指示灯发生颜色变换，反馈与老师；</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62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A3-12</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自动给排水系统</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#1、排水模块一组，水位控制器一组，电源控制器一组，自动回位器一组；</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#2、所有排水由智能化控制系统集中控制，与学生水槽柜采用硅胶软管连接；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接口均采用自动锁紧插拔式连接方式（拔掉时没有污水流出），用时接上，不用时可收起。当学生水槽柜量达到一定值时系统自动排水、污水经过连接管排至顶部排水管总管后流出，当水槽柜污水排净后排水系统自动关闭；</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#4、控制系统设置一键排空功能，可一键将管道内所有的污水排空；</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A3-13</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给排水接口</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#1、给排水接口采用PVC材质，具有耐酸碱，拔插轻松，不生锈；即插即用，具有高密封性能，即使在供水排水工作时，随时拔掉接口不会有任何滴漏现象；</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8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A3-14</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给水管路</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#1、给水主管选用φ20-32mmPP-R给水管，模块化设计，每组模块间采用活接式连接；</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A3-15</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排水管路</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#1、排水管选用加厚φ50-75mmPVC-U国标管，模块化设计，每组模块间采用活接式连接；</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A3-16</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学生端分组控制系统</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#1、采用模块化设计，可单独设置独立控制装置，包含独立摇臂、独立上水、独立排水、独立电源，独立照明，每个装置的每个功能可以单独开启、关闭；</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A3-17</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系统安装辅件</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#1、采用横梁吊装方式，减少楼板承重，防止左右晃动，可进行上下、左右的平衡调节；主要辅件有：三角构件、直角座、龙骨架连接件、吊装挂件、安装连接板等；</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85"/>
        </w:trPr>
        <w:tc>
          <w:tcPr>
            <w:gridSpan w:val="3"/>
            <w:tcW w:w="42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A4、通风系统</w:t>
            </w:r>
            <w:r/>
          </w:p>
        </w:tc>
        <w:tc>
          <w:tcPr>
            <w:tcW w:w="354"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W w:w="365"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189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A4-01</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万向吸风罩</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#1、关节：采用高密度PP聚丙烯材质，可360°旋转调节方向，易拆卸、重组及清洗，颜色可选；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#2、关节密封圈：采用不易老化的高密度橡胶；关节连接杆：304不锈钢连接杆；关节松紧旋钮：高密度PP材质，内嵌不锈钢轴承，与关节连接杆锁合；</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#3、气流调节阀：方便的手动调节外部阀门旋钮，控制进入之气流量；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#4、集气罩：PP白色/红色/透明， 罩口直径不小于350mm；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#5、标配固定底座：非粘接而成，模具注塑一体成型，牢度强，不脱底；</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A4-02</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室内行程通风系统</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#1、主风管：采用具有耐酸碱性能PVCФ400㎜、支分管Ф160㎜，Ф110mm；管</w:t>
            </w:r>
            <w:r>
              <w:rPr>
                <w:rFonts w:hint="eastAsia" w:ascii="宋体" w:hAnsi="宋体" w:eastAsia="宋体" w:cs="宋体"/>
                <w:i w:val="0"/>
                <w:iCs w:val="0"/>
                <w:color w:val="auto"/>
                <w:sz w:val="21"/>
                <w:szCs w:val="21"/>
                <w:u w:val="none"/>
                <w:lang w:val="en-US" w:eastAsia="zh-CN" w:bidi="ar"/>
              </w:rPr>
              <w:t xml:space="preserve">卡采用碳钢制作，表面经镀铬处理，具有耐腐蚀、防火、防潮等功能；                                                                                                                                                                                                                                 </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A4-03</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室外行程通风系统</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#1、采用PVC风管，或PP焊接管具有耐酸碱性能；规格：主风管直径400mm；管卡采用碳钢制作，表面经镀铬处理，具有耐腐蚀、防火、防潮等功能；          </w:t>
            </w: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eastAsia="宋体" w:cs="宋体"/>
                <w:i w:val="0"/>
                <w:iCs w:val="0"/>
                <w:color w:val="auto"/>
                <w:sz w:val="21"/>
                <w:szCs w:val="21"/>
                <w:u w:val="none"/>
                <w:lang w:val="en-US" w:eastAsia="zh-CN" w:bidi="ar"/>
              </w:rPr>
              <w:t xml:space="preserve">                                                                                                                                                                                                                                                                </w:t>
            </w:r>
            <w:r/>
          </w:p>
        </w:tc>
        <w:tc>
          <w:tcPr>
            <w:tcW w:w="35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A4-04</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通风风机</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#1、6#离心风机；材料：PP板材料；电机功率：6A-4kW；技术要求：转速≥ 1450r/min，风量：6677-13353，全压：1139-724，噪声符合国家标准；随机配件：防雨风帽、电机防雨罩及减震垫；输出：AC 0-380V 13A</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eastAsia="宋体" w:cs="宋体"/>
                <w:i w:val="0"/>
                <w:iCs w:val="0"/>
                <w:color w:val="auto"/>
                <w:sz w:val="21"/>
                <w:szCs w:val="21"/>
                <w:u w:val="none"/>
                <w:lang w:val="en-US" w:eastAsia="zh-CN" w:bidi="ar"/>
              </w:rPr>
              <w:t xml:space="preserve">                                                                                                                                                                                                                                                                </w:t>
            </w:r>
            <w:r/>
          </w:p>
        </w:tc>
        <w:tc>
          <w:tcPr>
            <w:tcW w:w="35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8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A4-05</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变频器</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#1、采用电流无感矢量控制，额定电压：AC3PH380V+15%，频率：50～60Hz；</w:t>
            </w:r>
            <w:r/>
          </w:p>
        </w:tc>
        <w:tc>
          <w:tcPr>
            <w:tcW w:w="35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85"/>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A4-06</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消音器</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#1、规格：外径Ф600㎜，内径Ф400㎜、高度1000mm, 圆形；材料：PP材质，内置隔音棉等隔音装置；</w:t>
            </w:r>
            <w:r/>
          </w:p>
        </w:tc>
        <w:tc>
          <w:tcPr>
            <w:tcW w:w="35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A4-07</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风机软连接</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#1、进风口：采用PVC柔性材料制作，Ф600-Ф400mm，因风机振动引起</w:t>
            </w:r>
            <w:r>
              <w:rPr>
                <w:rFonts w:hint="eastAsia" w:ascii="宋体" w:hAnsi="宋体" w:eastAsia="宋体" w:cs="宋体"/>
                <w:i w:val="0"/>
                <w:iCs w:val="0"/>
                <w:color w:val="auto"/>
                <w:sz w:val="21"/>
                <w:szCs w:val="21"/>
                <w:highlight w:val="none"/>
                <w:u w:val="none"/>
                <w:lang w:val="en-US" w:eastAsia="zh-CN" w:bidi="ar"/>
              </w:rPr>
              <w:t xml:space="preserve">的消除振音传递和消除微量错位对风机的影响；                                                                                         </w:t>
            </w:r>
            <w:r>
              <w:rPr>
                <w:rFonts w:hint="eastAsia" w:ascii="宋体" w:hAnsi="宋体" w:eastAsia="宋体" w:cs="宋体"/>
                <w:i w:val="0"/>
                <w:iCs w:val="0"/>
                <w:color w:val="auto"/>
                <w:sz w:val="21"/>
                <w:szCs w:val="21"/>
                <w:highlight w:val="none"/>
                <w:u w:val="none"/>
                <w:lang w:val="en-US" w:eastAsia="zh-CN" w:bidi="ar"/>
              </w:rPr>
              <w:t xml:space="preserve">                                                                                                          #2、出风口：材料PP，规格方转圆地方风机接口；技术要求：抗撞强度≥500（MPa）；                                                                                                           </w:t>
            </w:r>
            <w:r/>
          </w:p>
        </w:tc>
        <w:tc>
          <w:tcPr>
            <w:tcW w:w="35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A4-08</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风机控制线</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#1、国标：采用交联聚乙烯绝缘﹑铝塑带绕包总屏蔽﹑低烟无卤聚烯烃内衬层﹑钢丝铠装﹑低烟无卤聚烯烃护套耐火计算机对绞控制电缆；                                        </w:t>
            </w:r>
            <w:r>
              <w:rPr>
                <w:rFonts w:hint="eastAsia" w:ascii="宋体" w:hAnsi="宋体" w:eastAsia="宋体" w:cs="宋体"/>
                <w:i w:val="0"/>
                <w:iCs w:val="0"/>
                <w:color w:val="auto"/>
                <w:sz w:val="21"/>
                <w:szCs w:val="21"/>
                <w:u w:val="none"/>
                <w:lang w:val="en-US" w:eastAsia="zh-CN" w:bidi="ar"/>
              </w:rPr>
              <w:t xml:space="preserve">                                                                                                                                                              #2、电缆的额定电压300/500V，电缆长期工作温度-30～90℃，电缆敷设温度不低于0℃，电缆弯曲半径不小于电缆直径的12倍，低烟无卤成束阻燃型电缆燃烧时析出气体中HCL含量≤100mg/g；</w:t>
            </w:r>
            <w:r/>
          </w:p>
        </w:tc>
        <w:tc>
          <w:tcPr>
            <w:tcW w:w="35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85"/>
        </w:trPr>
        <w:tc>
          <w:tcPr>
            <w:gridSpan w:val="3"/>
            <w:tcW w:w="42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A5、文宣装修</w:t>
            </w:r>
            <w:r/>
          </w:p>
        </w:tc>
        <w:tc>
          <w:tcPr>
            <w:tcW w:w="354"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W w:w="365"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1950"/>
        </w:trPr>
        <w:tc>
          <w:tcPr>
            <w:tcW w:w="40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A5-01</w:t>
            </w:r>
            <w:r/>
          </w:p>
        </w:tc>
        <w:tc>
          <w:tcPr>
            <w:tcW w:w="55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文宣装修</w:t>
            </w:r>
            <w:r/>
          </w:p>
        </w:tc>
        <w:tc>
          <w:tcPr>
            <w:tcW w:w="331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#1、吊顶（约120</w:t>
            </w:r>
            <w:r>
              <w:rPr>
                <w:rStyle w:val="973"/>
                <w:rFonts w:hint="eastAsia" w:ascii="宋体" w:hAnsi="宋体" w:eastAsia="宋体" w:cs="宋体"/>
                <w:color w:val="auto"/>
                <w:sz w:val="21"/>
                <w:szCs w:val="21"/>
                <w:lang w:val="en-US" w:eastAsia="zh-CN" w:bidi="ar"/>
              </w:rPr>
              <w:t xml:space="preserve">㎡</w:t>
            </w:r>
            <w:r>
              <w:rPr>
                <w:rStyle w:val="966"/>
                <w:rFonts w:hint="eastAsia" w:ascii="宋体" w:hAnsi="宋体" w:eastAsia="宋体" w:cs="宋体"/>
                <w:color w:val="auto"/>
                <w:sz w:val="21"/>
                <w:szCs w:val="21"/>
                <w:lang w:val="en-US" w:eastAsia="zh-CN" w:bidi="ar"/>
              </w:rPr>
              <w:t xml:space="preserve">）：</w:t>
            </w:r>
            <w:r>
              <w:rPr>
                <w:rStyle w:val="966"/>
                <w:rFonts w:hint="eastAsia" w:ascii="宋体" w:hAnsi="宋体" w:eastAsia="宋体" w:cs="宋体"/>
                <w:color w:val="auto"/>
                <w:sz w:val="21"/>
                <w:szCs w:val="21"/>
                <w:lang w:val="en-US" w:eastAsia="zh-CN" w:bidi="ar"/>
              </w:rPr>
              <w:br/>
            </w:r>
            <w:r>
              <w:rPr>
                <w:rStyle w:val="966"/>
                <w:rFonts w:hint="eastAsia" w:ascii="宋体" w:hAnsi="宋体" w:eastAsia="宋体" w:cs="宋体"/>
                <w:color w:val="auto"/>
                <w:sz w:val="21"/>
                <w:szCs w:val="21"/>
                <w:lang w:val="en-US" w:eastAsia="zh-CN" w:bidi="ar"/>
              </w:rPr>
              <w:t xml:space="preserve">1）铝方通吊顶（长1000*宽300*厚1.0mm）颜色定制；</w:t>
            </w:r>
            <w:r>
              <w:rPr>
                <w:rStyle w:val="966"/>
                <w:rFonts w:hint="eastAsia" w:ascii="宋体" w:hAnsi="宋体" w:eastAsia="宋体" w:cs="宋体"/>
                <w:color w:val="auto"/>
                <w:sz w:val="21"/>
                <w:szCs w:val="21"/>
                <w:lang w:val="en-US" w:eastAsia="zh-CN" w:bidi="ar"/>
              </w:rPr>
              <w:br/>
            </w:r>
            <w:r>
              <w:rPr>
                <w:rStyle w:val="966"/>
                <w:rFonts w:hint="eastAsia" w:ascii="宋体" w:hAnsi="宋体" w:eastAsia="宋体" w:cs="宋体"/>
                <w:color w:val="auto"/>
                <w:sz w:val="21"/>
                <w:szCs w:val="21"/>
                <w:lang w:val="en-US" w:eastAsia="zh-CN" w:bidi="ar"/>
              </w:rPr>
              <w:t xml:space="preserve">2）龙骨：包含A－字龙骨元件、主龙骨、主龙骨吊件、三角龙骨、三角龙骨吊件等；</w:t>
            </w:r>
            <w:r>
              <w:rPr>
                <w:rStyle w:val="966"/>
                <w:rFonts w:hint="eastAsia" w:ascii="宋体" w:hAnsi="宋体" w:eastAsia="宋体" w:cs="宋体"/>
                <w:color w:val="auto"/>
                <w:sz w:val="21"/>
                <w:szCs w:val="21"/>
                <w:lang w:val="en-US" w:eastAsia="zh-CN" w:bidi="ar"/>
              </w:rPr>
              <w:br/>
            </w:r>
            <w:r>
              <w:rPr>
                <w:rStyle w:val="966"/>
                <w:rFonts w:hint="eastAsia" w:ascii="宋体" w:hAnsi="宋体" w:eastAsia="宋体" w:cs="宋体"/>
                <w:color w:val="auto"/>
                <w:sz w:val="21"/>
                <w:szCs w:val="21"/>
                <w:lang w:val="en-US" w:eastAsia="zh-CN" w:bidi="ar"/>
              </w:rPr>
              <w:t xml:space="preserve">3）其他辅件：封边条、钢丝、膨胀螺丝、钢钉、木条等；</w:t>
            </w:r>
            <w:r>
              <w:rPr>
                <w:rStyle w:val="966"/>
                <w:rFonts w:hint="eastAsia" w:ascii="宋体" w:hAnsi="宋体" w:eastAsia="宋体" w:cs="宋体"/>
                <w:color w:val="auto"/>
                <w:sz w:val="21"/>
                <w:szCs w:val="21"/>
                <w:lang w:val="en-US" w:eastAsia="zh-CN" w:bidi="ar"/>
              </w:rPr>
              <w:br/>
            </w:r>
            <w:r>
              <w:rPr>
                <w:rStyle w:val="966"/>
                <w:rFonts w:hint="eastAsia" w:ascii="宋体" w:hAnsi="宋体" w:eastAsia="宋体" w:cs="宋体"/>
                <w:color w:val="auto"/>
                <w:sz w:val="21"/>
                <w:szCs w:val="21"/>
                <w:lang w:val="en-US" w:eastAsia="zh-CN" w:bidi="ar"/>
              </w:rPr>
              <w:t xml:space="preserve">#2、墙面（约165㎡）：</w:t>
            </w:r>
            <w:r>
              <w:rPr>
                <w:rStyle w:val="966"/>
                <w:rFonts w:hint="eastAsia" w:ascii="宋体" w:hAnsi="宋体" w:eastAsia="宋体" w:cs="宋体"/>
                <w:color w:val="auto"/>
                <w:sz w:val="21"/>
                <w:szCs w:val="21"/>
                <w:lang w:val="en-US" w:eastAsia="zh-CN" w:bidi="ar"/>
              </w:rPr>
              <w:br/>
            </w:r>
            <w:r>
              <w:rPr>
                <w:rStyle w:val="966"/>
                <w:rFonts w:hint="eastAsia" w:ascii="宋体" w:hAnsi="宋体" w:eastAsia="宋体" w:cs="宋体"/>
                <w:color w:val="auto"/>
                <w:sz w:val="21"/>
                <w:szCs w:val="21"/>
                <w:lang w:val="en-US" w:eastAsia="zh-CN" w:bidi="ar"/>
              </w:rPr>
              <w:t xml:space="preserve">1）打磨原有墙面，批腻子一遍，乳胶漆一遍，彩色漆；</w:t>
            </w:r>
            <w:r>
              <w:rPr>
                <w:rStyle w:val="966"/>
                <w:rFonts w:hint="eastAsia" w:ascii="宋体" w:hAnsi="宋体" w:eastAsia="宋体" w:cs="宋体"/>
                <w:color w:val="auto"/>
                <w:sz w:val="21"/>
                <w:szCs w:val="21"/>
                <w:lang w:val="en-US" w:eastAsia="zh-CN" w:bidi="ar"/>
              </w:rPr>
              <w:br/>
            </w:r>
            <w:r>
              <w:rPr>
                <w:rStyle w:val="966"/>
                <w:rFonts w:hint="eastAsia" w:ascii="宋体" w:hAnsi="宋体" w:eastAsia="宋体" w:cs="宋体"/>
                <w:color w:val="auto"/>
                <w:sz w:val="21"/>
                <w:szCs w:val="21"/>
                <w:lang w:val="en-US" w:eastAsia="zh-CN" w:bidi="ar"/>
              </w:rPr>
              <w:t xml:space="preserve">#3、地面（约120</w:t>
            </w:r>
            <w:r>
              <w:rPr>
                <w:rStyle w:val="973"/>
                <w:rFonts w:hint="eastAsia" w:ascii="宋体" w:hAnsi="宋体" w:eastAsia="宋体" w:cs="宋体"/>
                <w:color w:val="auto"/>
                <w:sz w:val="21"/>
                <w:szCs w:val="21"/>
                <w:lang w:val="en-US" w:eastAsia="zh-CN" w:bidi="ar"/>
              </w:rPr>
              <w:t xml:space="preserve">㎡</w:t>
            </w:r>
            <w:r>
              <w:rPr>
                <w:rStyle w:val="966"/>
                <w:rFonts w:hint="eastAsia" w:ascii="宋体" w:hAnsi="宋体" w:eastAsia="宋体" w:cs="宋体"/>
                <w:color w:val="auto"/>
                <w:sz w:val="21"/>
                <w:szCs w:val="21"/>
                <w:lang w:val="en-US" w:eastAsia="zh-CN" w:bidi="ar"/>
              </w:rPr>
              <w:t xml:space="preserve">）：</w:t>
            </w:r>
            <w:r>
              <w:rPr>
                <w:rStyle w:val="966"/>
                <w:rFonts w:hint="eastAsia" w:ascii="宋体" w:hAnsi="宋体" w:eastAsia="宋体" w:cs="宋体"/>
                <w:color w:val="auto"/>
                <w:sz w:val="21"/>
                <w:szCs w:val="21"/>
                <w:lang w:val="en-US" w:eastAsia="zh-CN" w:bidi="ar"/>
              </w:rPr>
              <w:br/>
            </w:r>
            <w:r>
              <w:rPr>
                <w:rStyle w:val="966"/>
                <w:rFonts w:hint="eastAsia" w:ascii="宋体" w:hAnsi="宋体" w:eastAsia="宋体" w:cs="宋体"/>
                <w:color w:val="auto"/>
                <w:sz w:val="21"/>
                <w:szCs w:val="21"/>
                <w:lang w:val="en-US" w:eastAsia="zh-CN" w:bidi="ar"/>
              </w:rPr>
              <w:t xml:space="preserve">1）清理原地面基础上的浮尘和砂粒；                                                                                                                     </w:t>
            </w:r>
            <w:r>
              <w:rPr>
                <w:rStyle w:val="966"/>
                <w:rFonts w:hint="eastAsia" w:ascii="宋体" w:hAnsi="宋体" w:eastAsia="宋体" w:cs="宋体"/>
                <w:color w:val="auto"/>
                <w:sz w:val="21"/>
                <w:szCs w:val="21"/>
                <w:lang w:val="en-US" w:eastAsia="zh-CN" w:bidi="ar"/>
              </w:rPr>
              <w:t xml:space="preserve">                                                                                                                                                                                            2）黑色哑光不锈钢饰面踢脚线；                                                     </w:t>
            </w:r>
            <w:r>
              <w:rPr>
                <w:rStyle w:val="966"/>
                <w:rFonts w:hint="eastAsia" w:ascii="宋体" w:hAnsi="宋体" w:eastAsia="宋体" w:cs="宋体"/>
                <w:color w:val="auto"/>
                <w:sz w:val="21"/>
                <w:szCs w:val="21"/>
                <w:lang w:val="en-US" w:eastAsia="zh-CN" w:bidi="ar"/>
              </w:rPr>
              <w:t xml:space="preserve">                                                                                                                                                                                                                                                      3）采用PVC地胶：</w:t>
            </w:r>
            <w:r>
              <w:rPr>
                <w:rStyle w:val="966"/>
                <w:rFonts w:hint="eastAsia" w:ascii="宋体" w:hAnsi="宋体" w:eastAsia="宋体" w:cs="宋体"/>
                <w:color w:val="auto"/>
                <w:sz w:val="21"/>
                <w:szCs w:val="21"/>
                <w:lang w:val="en-US" w:eastAsia="zh-CN" w:bidi="ar"/>
              </w:rPr>
              <w:br/>
            </w:r>
            <w:r>
              <w:rPr>
                <w:rStyle w:val="966"/>
                <w:rFonts w:hint="eastAsia" w:ascii="宋体" w:hAnsi="宋体" w:eastAsia="宋体" w:cs="宋体"/>
                <w:color w:val="auto"/>
                <w:sz w:val="21"/>
                <w:szCs w:val="21"/>
                <w:lang w:val="en-US" w:eastAsia="zh-CN" w:bidi="ar"/>
              </w:rPr>
              <w:t xml:space="preserve">#4、线路改造：</w:t>
            </w:r>
            <w:r>
              <w:rPr>
                <w:rStyle w:val="966"/>
                <w:rFonts w:hint="eastAsia" w:ascii="宋体" w:hAnsi="宋体" w:eastAsia="宋体" w:cs="宋体"/>
                <w:color w:val="auto"/>
                <w:sz w:val="21"/>
                <w:szCs w:val="21"/>
                <w:lang w:val="en-US" w:eastAsia="zh-CN" w:bidi="ar"/>
              </w:rPr>
              <w:br/>
            </w:r>
            <w:r>
              <w:rPr>
                <w:rStyle w:val="966"/>
                <w:rFonts w:hint="eastAsia" w:ascii="宋体" w:hAnsi="宋体" w:eastAsia="宋体" w:cs="宋体"/>
                <w:color w:val="auto"/>
                <w:sz w:val="21"/>
                <w:szCs w:val="21"/>
                <w:lang w:val="en-US" w:eastAsia="zh-CN" w:bidi="ar"/>
              </w:rPr>
              <w:t xml:space="preserve">1）强电：照明、插座2.5平方国标线材，PVC阻燃套管、阻燃型86盒，电线无接头、分线有盒，国标墙面地面插座、双控开关移位及增补；</w:t>
            </w:r>
            <w:r>
              <w:rPr>
                <w:rStyle w:val="966"/>
                <w:rFonts w:hint="eastAsia" w:ascii="宋体" w:hAnsi="宋体" w:eastAsia="宋体" w:cs="宋体"/>
                <w:color w:val="auto"/>
                <w:sz w:val="21"/>
                <w:szCs w:val="21"/>
                <w:lang w:val="en-US" w:eastAsia="zh-CN" w:bidi="ar"/>
              </w:rPr>
              <w:br/>
            </w:r>
            <w:r>
              <w:rPr>
                <w:rStyle w:val="966"/>
                <w:rFonts w:hint="eastAsia" w:ascii="宋体" w:hAnsi="宋体" w:eastAsia="宋体" w:cs="宋体"/>
                <w:color w:val="auto"/>
                <w:sz w:val="21"/>
                <w:szCs w:val="21"/>
                <w:lang w:val="en-US" w:eastAsia="zh-CN" w:bidi="ar"/>
              </w:rPr>
              <w:t xml:space="preserve">2）弱电：PVC阻燃套管、阻燃型86盒，网线、音频线、视频线、控制线敷设及线头压制，配套各类接着头；</w:t>
            </w:r>
            <w:r>
              <w:rPr>
                <w:rStyle w:val="966"/>
                <w:rFonts w:hint="eastAsia" w:ascii="宋体" w:hAnsi="宋体" w:eastAsia="宋体" w:cs="宋体"/>
                <w:color w:val="auto"/>
                <w:sz w:val="21"/>
                <w:szCs w:val="21"/>
                <w:lang w:val="en-US" w:eastAsia="zh-CN" w:bidi="ar"/>
              </w:rPr>
              <w:br/>
            </w:r>
            <w:r>
              <w:rPr>
                <w:rStyle w:val="966"/>
                <w:rFonts w:hint="eastAsia" w:ascii="宋体" w:hAnsi="宋体" w:eastAsia="宋体" w:cs="宋体"/>
                <w:color w:val="auto"/>
                <w:sz w:val="21"/>
                <w:szCs w:val="21"/>
                <w:lang w:val="en-US" w:eastAsia="zh-CN" w:bidi="ar"/>
              </w:rPr>
              <w:t xml:space="preserve">3）其他：除楼板以外均须开槽暗敷并修复，包含垃圾清运；</w:t>
            </w:r>
            <w:r>
              <w:rPr>
                <w:rStyle w:val="966"/>
                <w:rFonts w:hint="eastAsia" w:ascii="宋体" w:hAnsi="宋体" w:eastAsia="宋体" w:cs="宋体"/>
                <w:color w:val="auto"/>
                <w:sz w:val="21"/>
                <w:szCs w:val="21"/>
                <w:lang w:val="en-US" w:eastAsia="zh-CN" w:bidi="ar"/>
              </w:rPr>
              <w:br/>
            </w:r>
            <w:r>
              <w:rPr>
                <w:rStyle w:val="966"/>
                <w:rFonts w:hint="eastAsia" w:ascii="宋体" w:hAnsi="宋体" w:eastAsia="宋体" w:cs="宋体"/>
                <w:color w:val="auto"/>
                <w:sz w:val="21"/>
                <w:szCs w:val="21"/>
                <w:lang w:val="en-US" w:eastAsia="zh-CN" w:bidi="ar"/>
              </w:rPr>
              <w:t xml:space="preserve">#5、照明：LED光源筒灯24组嵌入式安装，银色铝质型材边框，预留安装定位台阶面，边框厚度≤12（mm）；</w:t>
            </w:r>
            <w:r>
              <w:rPr>
                <w:rStyle w:val="966"/>
                <w:rFonts w:hint="eastAsia" w:ascii="宋体" w:hAnsi="宋体" w:eastAsia="宋体" w:cs="宋体"/>
                <w:color w:val="auto"/>
                <w:sz w:val="21"/>
                <w:szCs w:val="21"/>
                <w:lang w:val="en-US" w:eastAsia="zh-CN" w:bidi="ar"/>
              </w:rPr>
              <w:br/>
            </w:r>
            <w:r>
              <w:rPr>
                <w:rStyle w:val="966"/>
                <w:rFonts w:hint="eastAsia" w:ascii="宋体" w:hAnsi="宋体" w:eastAsia="宋体" w:cs="宋体"/>
                <w:color w:val="auto"/>
                <w:sz w:val="21"/>
                <w:szCs w:val="21"/>
                <w:lang w:val="en-US" w:eastAsia="zh-CN" w:bidi="ar"/>
              </w:rPr>
              <w:t xml:space="preserve">#6、其他：全部文宣内容及装修样式，施工前需经采购方确认；包含施工垃圾清运。</w:t>
            </w:r>
            <w:r/>
          </w:p>
        </w:tc>
        <w:tc>
          <w:tcPr>
            <w:tcW w:w="35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6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bl>
      <w:tblPr>
        <w:tblStyle w:val="72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174"/>
        <w:gridCol w:w="6587"/>
        <w:gridCol w:w="721"/>
        <w:gridCol w:w="715"/>
      </w:tblGrid>
      <w:tr>
        <w:trPr>
          <w:trHeight w:val="270"/>
        </w:trPr>
        <w:tc>
          <w:tcPr>
            <w:gridSpan w:val="5"/>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B－化学数字化探究</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tcW w:w="33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270"/>
        </w:trPr>
        <w:tc>
          <w:tcPr>
            <w:gridSpan w:val="3"/>
            <w:tcW w:w="42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B1、教师端无线带屏手持式传感器和配套实验器材</w:t>
            </w:r>
            <w:r/>
          </w:p>
        </w:tc>
        <w:tc>
          <w:tcPr>
            <w:tcW w:w="362"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W w:w="357"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523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B1-01</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便携式实验终端</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#1、数字化探究实验专用，集数据采集、分析、存储为一体，可移动，便携，配套数据采集器或智能数字实验终端或直连传感器使用。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#2、显示屏幕尺寸：不低于10.1英寸。显示触摸屏：IPS触摸屏。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#3、处理器CPU：采用14nm制作工艺，功耗低至6W；处理器频率1.1GHz～2.4GHz。运行内存：不低于4GB。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#4、储存空间：不小于64GB的内置储存空间，支持扩展MICRO储存卡。无线WIFI：802.11/b/g/n。</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#5、摄像头：不低于前置200万像素和后置200万像素。电池容量：内置大容量电池，使用续航时间不少于5小时。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#6、操作系统：</w:t>
            </w:r>
            <w:r>
              <w:rPr>
                <w:rFonts w:hint="eastAsia" w:ascii="宋体" w:hAnsi="宋体" w:cs="宋体"/>
                <w:i w:val="0"/>
                <w:iCs w:val="0"/>
                <w:color w:val="auto"/>
                <w:sz w:val="21"/>
                <w:szCs w:val="21"/>
                <w:u w:val="none"/>
                <w:lang w:val="en-US" w:eastAsia="zh-CN" w:bidi="ar"/>
              </w:rPr>
              <w:t xml:space="preserve">支持</w:t>
            </w:r>
            <w:r>
              <w:rPr>
                <w:rFonts w:hint="eastAsia" w:ascii="宋体" w:hAnsi="宋体" w:eastAsia="宋体" w:cs="宋体"/>
                <w:i w:val="0"/>
                <w:iCs w:val="0"/>
                <w:color w:val="auto"/>
                <w:sz w:val="21"/>
                <w:szCs w:val="21"/>
                <w:u w:val="none"/>
                <w:lang w:val="en-US" w:eastAsia="zh-CN" w:bidi="ar"/>
              </w:rPr>
              <w:t xml:space="preserve">Windows10或11操作系统。配备磁吸式键盘，支持切换平板形态和笔记本形态。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#7、接口齐备，方便拓展：USB3.0×1；Type-C接口×1；DC接口；Mini HDMI接口×1。</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#8、内置数据分析软件：配套DIS实验软件，中文界面，符合新课程标准要求，具有强大的数据分析功能，可显示数字、图形、表格、仪表、温度计等多种方式。</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985"/>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B1-02</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数据采集器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#1、一体化结构设计，丝印产品型号、名称、传感器通道、接计算机通道，便于用户识别；</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#2、通过USB-B口与计算机或便携式实验终端连接，无需外接电源，即可进行通电和数据通讯；通过USB2.0口与传感器连接，可同时接入八个传感器，即插即用，自动识别所有传感器；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#3、八路全数字通道，采集分辨率14bits，采样频率最大可达100KHz，支持数据采集器级联；</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#4、采集器采用低压设计保证用户安全，所有端口具备短路保护功能，PCB设置接地引到外壳；预留DC5V电源接口，配有专用适配器，在电压不足或多传感器使用时保证供电电压稳定。</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B1-03</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无线蓝牙模块</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与无线带屏幕数字化传感器配合使用，接插于数据采集终端（便携式实验终端或笔记本电脑）的USB口；通过无线蓝牙方式实现传感器的无线数据通讯，可实现多通道无障碍传输距离≥100米；连接稳定顺畅，即插即用，响应迅速，互不干扰。</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432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B1-04</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温度传感器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#1、量程：-50℃～250℃，分辨率：0.1℃。</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#2、不锈钢探针，用于测各种物体或溶液的温度；手持式技术，便于直接观察数据；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#3、无需实体功能按键或触摸笔，需融合传感器、内置</w:t>
            </w:r>
            <w:r>
              <w:rPr>
                <w:rFonts w:hint="eastAsia" w:ascii="宋体" w:hAnsi="宋体" w:cs="宋体"/>
                <w:i w:val="0"/>
                <w:iCs w:val="0"/>
                <w:strike w:val="0"/>
                <w:color w:val="auto"/>
                <w:sz w:val="21"/>
                <w:szCs w:val="21"/>
                <w:u w:val="none"/>
                <w:lang w:val="en-US" w:eastAsia="zh-CN" w:bidi="ar"/>
              </w:rPr>
              <w:t xml:space="preserve">可视</w:t>
            </w:r>
            <w:r>
              <w:rPr>
                <w:rFonts w:hint="eastAsia" w:ascii="宋体" w:hAnsi="宋体" w:eastAsia="宋体" w:cs="宋体"/>
                <w:i w:val="0"/>
                <w:iCs w:val="0"/>
                <w:color w:val="auto"/>
                <w:sz w:val="21"/>
                <w:szCs w:val="21"/>
                <w:u w:val="none"/>
                <w:lang w:val="en-US" w:eastAsia="zh-CN" w:bidi="ar"/>
              </w:rPr>
              <w:t xml:space="preserve">电容触摸屏、内置大容量可充电锂电池/蜂鸣器/振动马达为一体化设计，不接受分体拼接模式；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#4、配置</w:t>
            </w:r>
            <w:r>
              <w:rPr>
                <w:rFonts w:hint="eastAsia" w:ascii="宋体" w:hAnsi="宋体" w:cs="宋体"/>
                <w:i w:val="0"/>
                <w:iCs w:val="0"/>
                <w:strike w:val="0"/>
                <w:color w:val="auto"/>
                <w:sz w:val="21"/>
                <w:szCs w:val="21"/>
                <w:u w:val="none"/>
                <w:lang w:val="en-US" w:eastAsia="zh-CN" w:bidi="ar"/>
              </w:rPr>
              <w:t xml:space="preserve">可视</w:t>
            </w:r>
            <w:r>
              <w:rPr>
                <w:rFonts w:hint="eastAsia" w:ascii="宋体" w:hAnsi="宋体" w:eastAsia="宋体" w:cs="宋体"/>
                <w:i w:val="0"/>
                <w:iCs w:val="0"/>
                <w:color w:val="auto"/>
                <w:sz w:val="21"/>
                <w:szCs w:val="21"/>
                <w:u w:val="none"/>
                <w:lang w:val="en-US" w:eastAsia="zh-CN" w:bidi="ar"/>
              </w:rPr>
              <w:t xml:space="preserve">高清电容触摸屏与振动警告功能单元，支持多点触摸方式；传感器自带滚轮调节键，通过滚轮可调节温度采集频率；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屏幕上支持曲线、仪表、表格、数字等多种显示方式，一键顺滑切换；具备曲线对比功能，可保留每次采样数据，可同时显示多组数据曲线；屏幕上可选择自动、手动采样模式，自由调节采样频率、区间，可根据实验教学要求采样取值；屏幕上可选择usb有线连接方式和蓝牙无线连接方式，内置蓝牙通讯模块，可根据实验教学需要切换工作模式；屏幕上可自定义逻辑指令，并执行一个或多个蜂鸣、振动、延时、记录、停止采集等指令；屏幕上可直接新建实验、保存实验、删除实验等；可直接显示电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#6、支持快速开关机功能；支持智能节能</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自动关机。</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630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B1-05</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高温传感器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#1、量程：0～1200°C，分辨率：0.25°C。</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#2、用于测量物体表面、气体、酸碱等液体的温度，也可用于超高温的测量；手持式技术，便于直接观察数据；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#3、无需实体功能按键或触摸笔，需融合传感器、内置</w:t>
            </w:r>
            <w:r>
              <w:rPr>
                <w:rFonts w:hint="eastAsia" w:ascii="宋体" w:hAnsi="宋体" w:cs="宋体"/>
                <w:i w:val="0"/>
                <w:iCs w:val="0"/>
                <w:strike w:val="0"/>
                <w:color w:val="auto"/>
                <w:sz w:val="21"/>
                <w:szCs w:val="21"/>
                <w:u w:val="none"/>
                <w:lang w:val="en-US" w:eastAsia="zh-CN" w:bidi="ar"/>
              </w:rPr>
              <w:t xml:space="preserve">可视</w:t>
            </w:r>
            <w:r>
              <w:rPr>
                <w:rFonts w:hint="eastAsia" w:ascii="宋体" w:hAnsi="宋体" w:eastAsia="宋体" w:cs="宋体"/>
                <w:i w:val="0"/>
                <w:iCs w:val="0"/>
                <w:color w:val="auto"/>
                <w:sz w:val="21"/>
                <w:szCs w:val="21"/>
                <w:u w:val="none"/>
                <w:lang w:val="en-US" w:eastAsia="zh-CN" w:bidi="ar"/>
              </w:rPr>
              <w:t xml:space="preserve">电容触摸屏、内置大容量可充电锂电池/蜂鸣器/振动马达为一体化设计，不接受分体拼接模式；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#4、配置</w:t>
            </w:r>
            <w:r>
              <w:rPr>
                <w:rFonts w:hint="eastAsia" w:ascii="宋体" w:hAnsi="宋体" w:cs="宋体"/>
                <w:i w:val="0"/>
                <w:iCs w:val="0"/>
                <w:strike w:val="0"/>
                <w:color w:val="auto"/>
                <w:sz w:val="21"/>
                <w:szCs w:val="21"/>
                <w:u w:val="none"/>
                <w:lang w:val="en-US" w:eastAsia="zh-CN" w:bidi="ar"/>
              </w:rPr>
              <w:t xml:space="preserve">可视</w:t>
            </w:r>
            <w:r>
              <w:rPr>
                <w:rFonts w:hint="eastAsia" w:ascii="宋体" w:hAnsi="宋体" w:eastAsia="宋体" w:cs="宋体"/>
                <w:i w:val="0"/>
                <w:iCs w:val="0"/>
                <w:color w:val="auto"/>
                <w:sz w:val="21"/>
                <w:szCs w:val="21"/>
                <w:u w:val="none"/>
                <w:lang w:val="en-US" w:eastAsia="zh-CN" w:bidi="ar"/>
              </w:rPr>
              <w:t xml:space="preserve">高清电容触摸屏与振动警告功能单元，支持多点触摸方式；传感器自带滚轮调节键，通过滚轮可调节高温采集频率；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屏幕上支持曲线、仪表、表格、数字等多种显示方式，一键顺滑切换；具备曲线对比功能，可保留每次采样数据，可同时显示多组数据曲线；屏幕上可选择自动、手动采样模式，自由调节采样频率、区间，可根据实验教学要求采样取值；屏幕上可选择usb有线连接方式和蓝牙无线连接方式，内置蓝牙通讯模块，可根据实验教学需要切换工作模式；屏幕上可自定义逻辑指令，并执行一个或多个蜂鸣、振动、延时、记录、停止采集等指令；屏幕上可直接新建实验、保存实验、删除实验等；可直接显示电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#6、支持快速开关机功能；支持智能节能</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自动关机。</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622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B1-06</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气压传感器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#1、量程：0～700kPa，分辨率：0.1kPa。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#2、配有针筒，用于测量大气环境下或密闭空间内的气体的绝对压强；手持式技术，便于直接观察数据；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#3、无需实体功能按键或触摸笔，需融合传感器、内置</w:t>
            </w:r>
            <w:r>
              <w:rPr>
                <w:rFonts w:hint="eastAsia" w:ascii="宋体" w:hAnsi="宋体" w:cs="宋体"/>
                <w:i w:val="0"/>
                <w:iCs w:val="0"/>
                <w:strike w:val="0"/>
                <w:color w:val="auto"/>
                <w:sz w:val="21"/>
                <w:szCs w:val="21"/>
                <w:u w:val="none"/>
                <w:lang w:val="en-US" w:eastAsia="zh-CN" w:bidi="ar"/>
              </w:rPr>
              <w:t xml:space="preserve">可视</w:t>
            </w:r>
            <w:r>
              <w:rPr>
                <w:rFonts w:hint="eastAsia" w:ascii="宋体" w:hAnsi="宋体" w:eastAsia="宋体" w:cs="宋体"/>
                <w:i w:val="0"/>
                <w:iCs w:val="0"/>
                <w:color w:val="auto"/>
                <w:sz w:val="21"/>
                <w:szCs w:val="21"/>
                <w:u w:val="none"/>
                <w:lang w:val="en-US" w:eastAsia="zh-CN" w:bidi="ar"/>
              </w:rPr>
              <w:t xml:space="preserve">寸电容触摸屏、内置大容量可充电锂电池/蜂鸣器/振动马达为一体化设计，不接受分体拼接模式；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#4、配置</w:t>
            </w:r>
            <w:r>
              <w:rPr>
                <w:rFonts w:hint="eastAsia" w:ascii="宋体" w:hAnsi="宋体" w:cs="宋体"/>
                <w:i w:val="0"/>
                <w:iCs w:val="0"/>
                <w:strike w:val="0"/>
                <w:color w:val="auto"/>
                <w:sz w:val="21"/>
                <w:szCs w:val="21"/>
                <w:u w:val="none"/>
                <w:lang w:val="en-US" w:eastAsia="zh-CN" w:bidi="ar"/>
              </w:rPr>
              <w:t xml:space="preserve">可视</w:t>
            </w:r>
            <w:r>
              <w:rPr>
                <w:rFonts w:hint="eastAsia" w:ascii="宋体" w:hAnsi="宋体" w:eastAsia="宋体" w:cs="宋体"/>
                <w:i w:val="0"/>
                <w:iCs w:val="0"/>
                <w:color w:val="auto"/>
                <w:sz w:val="21"/>
                <w:szCs w:val="21"/>
                <w:u w:val="none"/>
                <w:lang w:val="en-US" w:eastAsia="zh-CN" w:bidi="ar"/>
              </w:rPr>
              <w:t xml:space="preserve">高清电容触摸屏与振动警告功能单元，支持多点触摸方式；传感器自带滚轮调节键，通过滚轮可调节气压采集频率；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屏幕上支持曲线、仪表、表格、数字等多种显示方式，一键顺滑切换；具备曲线对比功能，可保留每次采样数据，可同时显示多组数据曲线；屏幕上可选择自动、手动采样模式，自由调节采样频率、区间，可根据实验教学要求采样取值；屏幕上可选择usb有线连接方式和蓝牙无线连接方式，内置蓝牙通讯模块，可根据实验教学需要切换工作模式；屏幕上可自定义逻辑指令，并执行一个或多个蜂鸣、振动、延时、记录、停止采集等指令；屏幕上可直接新建实验、保存实验、删除实验等；可直接显示电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#6、支持快速开关机功能；支持智能节能</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自动关机。</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648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B1-07</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相对压强传感器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#1、量程±20kPa，分辨率：0.01kPa。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#2、用于测量大气环境下于被测量空间内的气体的压强差；手持式技术，便于直接观察数据；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#3、无需实体功能按键或触摸笔，需融合传感器、内置</w:t>
            </w:r>
            <w:r>
              <w:rPr>
                <w:rFonts w:hint="eastAsia" w:ascii="宋体" w:hAnsi="宋体" w:cs="宋体"/>
                <w:i w:val="0"/>
                <w:iCs w:val="0"/>
                <w:strike w:val="0"/>
                <w:color w:val="auto"/>
                <w:sz w:val="21"/>
                <w:szCs w:val="21"/>
                <w:u w:val="none"/>
                <w:lang w:val="en-US" w:eastAsia="zh-CN" w:bidi="ar"/>
              </w:rPr>
              <w:t xml:space="preserve">可视</w:t>
            </w:r>
            <w:r>
              <w:rPr>
                <w:rFonts w:hint="eastAsia" w:ascii="宋体" w:hAnsi="宋体" w:eastAsia="宋体" w:cs="宋体"/>
                <w:i w:val="0"/>
                <w:iCs w:val="0"/>
                <w:color w:val="auto"/>
                <w:sz w:val="21"/>
                <w:szCs w:val="21"/>
                <w:u w:val="none"/>
                <w:lang w:val="en-US" w:eastAsia="zh-CN" w:bidi="ar"/>
              </w:rPr>
              <w:t xml:space="preserve">电容触摸屏、内置大容量可充电锂电池/蜂鸣器/振动马达为一体化设计，不接受分体拼接模式；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#4、配置</w:t>
            </w:r>
            <w:r>
              <w:rPr>
                <w:rFonts w:hint="eastAsia" w:ascii="宋体" w:hAnsi="宋体" w:cs="宋体"/>
                <w:i w:val="0"/>
                <w:iCs w:val="0"/>
                <w:strike w:val="0"/>
                <w:color w:val="auto"/>
                <w:sz w:val="21"/>
                <w:szCs w:val="21"/>
                <w:u w:val="none"/>
                <w:lang w:val="en-US" w:eastAsia="zh-CN" w:bidi="ar"/>
              </w:rPr>
              <w:t xml:space="preserve">可视</w:t>
            </w:r>
            <w:r>
              <w:rPr>
                <w:rFonts w:hint="eastAsia" w:ascii="宋体" w:hAnsi="宋体" w:eastAsia="宋体" w:cs="宋体"/>
                <w:i w:val="0"/>
                <w:iCs w:val="0"/>
                <w:color w:val="auto"/>
                <w:sz w:val="21"/>
                <w:szCs w:val="21"/>
                <w:u w:val="none"/>
                <w:lang w:val="en-US" w:eastAsia="zh-CN" w:bidi="ar"/>
              </w:rPr>
              <w:t xml:space="preserve">高清电容触摸屏与振动警告功能单元，支持多点触摸方式；传感器自带滚轮调节键，通过滚轮可调节相对压强采集频率；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屏幕上支持曲线、仪表、表格、数字等多种显示方式，一键顺滑切换；具备曲线对比功能，可保留每次采样数据，可同时显示多组数据曲线；屏幕上可选择自动、手动采样模式，自由调节采样频率、区间，可根据实验教学要求采样取值；屏幕上可选择usb有线连接方式和蓝牙无线连接方式，内置蓝牙通讯模块，可根据实验教学需要切换工作模式；屏幕上可自定义逻辑指令，并执行一个或多个蜂鸣、振动、延时、记录、停止采集等指令；屏幕上可直接新建实验、保存实验、删除实验等；可直接显示电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#6、支持快速开关机功能；支持智能节能，自动关机。</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345"/>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B1-08</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湿度传感器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#1、量程：0%～100%RH，分辨率：0.05%。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#2、用于测量空气的相对湿度；手持式技术，便于直接观察数据；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#3、无需实体功能按键或触摸笔，需融合传感器、内置</w:t>
            </w:r>
            <w:r>
              <w:rPr>
                <w:rFonts w:hint="eastAsia" w:ascii="宋体" w:hAnsi="宋体" w:cs="宋体"/>
                <w:i w:val="0"/>
                <w:iCs w:val="0"/>
                <w:strike w:val="0"/>
                <w:color w:val="auto"/>
                <w:sz w:val="21"/>
                <w:szCs w:val="21"/>
                <w:u w:val="none"/>
                <w:lang w:val="en-US" w:eastAsia="zh-CN" w:bidi="ar"/>
              </w:rPr>
              <w:t xml:space="preserve">可视</w:t>
            </w:r>
            <w:r>
              <w:rPr>
                <w:rFonts w:hint="eastAsia" w:ascii="宋体" w:hAnsi="宋体" w:eastAsia="宋体" w:cs="宋体"/>
                <w:i w:val="0"/>
                <w:iCs w:val="0"/>
                <w:color w:val="auto"/>
                <w:sz w:val="21"/>
                <w:szCs w:val="21"/>
                <w:u w:val="none"/>
                <w:lang w:val="en-US" w:eastAsia="zh-CN" w:bidi="ar"/>
              </w:rPr>
              <w:t xml:space="preserve">电容触摸屏、内置大容量可充电锂电池/蜂鸣器/振动马达为一体化设计，不接受分体拼接模式；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#4、配置</w:t>
            </w:r>
            <w:r>
              <w:rPr>
                <w:rFonts w:hint="eastAsia" w:ascii="宋体" w:hAnsi="宋体" w:cs="宋体"/>
                <w:i w:val="0"/>
                <w:iCs w:val="0"/>
                <w:strike w:val="0"/>
                <w:color w:val="auto"/>
                <w:sz w:val="21"/>
                <w:szCs w:val="21"/>
                <w:u w:val="none"/>
                <w:lang w:val="en-US" w:eastAsia="zh-CN" w:bidi="ar"/>
              </w:rPr>
              <w:t xml:space="preserve">可视</w:t>
            </w:r>
            <w:r>
              <w:rPr>
                <w:rFonts w:hint="eastAsia" w:ascii="宋体" w:hAnsi="宋体" w:eastAsia="宋体" w:cs="宋体"/>
                <w:i w:val="0"/>
                <w:iCs w:val="0"/>
                <w:color w:val="auto"/>
                <w:sz w:val="21"/>
                <w:szCs w:val="21"/>
                <w:u w:val="none"/>
                <w:lang w:val="en-US" w:eastAsia="zh-CN" w:bidi="ar"/>
              </w:rPr>
              <w:t xml:space="preserve">高清电容触摸屏与振动警告功能单元，支持多点触摸方式；传感器自带滚轮调节键，通过滚轮可调节湿度采集频率；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屏幕上支持曲线、仪表、表格、数字等多种显示方式，一键顺滑切换；具备曲线对比功能，可保留每次采样数据，可同时显示多组数据曲线；屏幕上可选自动、手动采样模式，自由调节采样频率、区间，可根据实验教学要求采样取值；屏幕上可选usb有线连接方式和蓝牙无线连接方式，内置蓝牙通讯模块，可根据实验教学需要切换工作模式；屏幕上可自定义逻辑指令，并执行一个或多个蜂鸣、振动、延时、记录、停止采集等指令；屏幕上可直接新建实验、保存实验、删除实验等；可直接显示电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#6、支持快速开关机功能；支持智能节能，自动关机。</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588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B1-09</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pH传感器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#1、量程：0～14 pH，分辨率：0.01 PH。</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#2、用于精确测量溶液的酸碱值；手持式技术，便于直接观察数据；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#3、无需实体功能按键或触摸笔，需融合传感器、内置</w:t>
            </w:r>
            <w:r>
              <w:rPr>
                <w:rFonts w:hint="eastAsia" w:ascii="宋体" w:hAnsi="宋体" w:cs="宋体"/>
                <w:i w:val="0"/>
                <w:iCs w:val="0"/>
                <w:strike w:val="0"/>
                <w:color w:val="auto"/>
                <w:sz w:val="21"/>
                <w:szCs w:val="21"/>
                <w:u w:val="none"/>
                <w:lang w:val="en-US" w:eastAsia="zh-CN" w:bidi="ar"/>
              </w:rPr>
              <w:t xml:space="preserve">可视</w:t>
            </w:r>
            <w:r>
              <w:rPr>
                <w:rFonts w:hint="eastAsia" w:ascii="宋体" w:hAnsi="宋体" w:eastAsia="宋体" w:cs="宋体"/>
                <w:i w:val="0"/>
                <w:iCs w:val="0"/>
                <w:color w:val="auto"/>
                <w:sz w:val="21"/>
                <w:szCs w:val="21"/>
                <w:u w:val="none"/>
                <w:lang w:val="en-US" w:eastAsia="zh-CN" w:bidi="ar"/>
              </w:rPr>
              <w:t xml:space="preserve">电容触摸屏、内置大容量可充电锂电池/蜂鸣器/振动马达为一体化设计，不接受分体拼接模式；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#4、配置</w:t>
            </w:r>
            <w:r>
              <w:rPr>
                <w:rFonts w:hint="eastAsia" w:ascii="宋体" w:hAnsi="宋体" w:cs="宋体"/>
                <w:i w:val="0"/>
                <w:iCs w:val="0"/>
                <w:strike w:val="0"/>
                <w:color w:val="auto"/>
                <w:sz w:val="21"/>
                <w:szCs w:val="21"/>
                <w:u w:val="none"/>
                <w:lang w:val="en-US" w:eastAsia="zh-CN" w:bidi="ar"/>
              </w:rPr>
              <w:t xml:space="preserve">可视</w:t>
            </w:r>
            <w:r>
              <w:rPr>
                <w:rFonts w:hint="eastAsia" w:ascii="宋体" w:hAnsi="宋体" w:eastAsia="宋体" w:cs="宋体"/>
                <w:i w:val="0"/>
                <w:iCs w:val="0"/>
                <w:color w:val="auto"/>
                <w:sz w:val="21"/>
                <w:szCs w:val="21"/>
                <w:u w:val="none"/>
                <w:lang w:val="en-US" w:eastAsia="zh-CN" w:bidi="ar"/>
              </w:rPr>
              <w:t xml:space="preserve">高清电容触摸屏与振动警告功能单元，支持多点触摸方式；传感器自带滚轮调节键，通过滚轮可调节pH采集频率；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屏幕上支持曲线、仪表、表格、数字等多种显示方式，一键顺滑切换；具备曲线对比功能，可保留每次采样数据，可同时显示多组数据曲线；屏幕上可选自动、手动采样模式，自由调节采样频率、区间，可根据实验教学要求采样取值；屏幕上可选usb有线连接方式和蓝牙无线连接方式，内置蓝牙通讯模块，可根据实验教学需要切换工作模式；屏幕上可自定义逻辑指令，并执行一个或多个蜂鸣、振动、延时、记录、停止采集等指令；屏幕上可直接新建实验、保存实验、删除实验等；可直接显示电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#6、支持快速开关机功能；支持智能节能，自动关机。</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588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B1-10</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电导率传感器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#1、量程：0～20000μS/cm，分辨率：10μS/cm。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#2、用于测量溶液的电导率及其变化；手持式技术，便于直接观察数据；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#3、无需实体功能按键或触摸笔，需融合传感器、内置</w:t>
            </w:r>
            <w:r>
              <w:rPr>
                <w:rFonts w:hint="eastAsia" w:ascii="宋体" w:hAnsi="宋体" w:cs="宋体"/>
                <w:i w:val="0"/>
                <w:iCs w:val="0"/>
                <w:strike w:val="0"/>
                <w:color w:val="auto"/>
                <w:sz w:val="21"/>
                <w:szCs w:val="21"/>
                <w:u w:val="none"/>
                <w:lang w:val="en-US" w:eastAsia="zh-CN" w:bidi="ar"/>
              </w:rPr>
              <w:t xml:space="preserve">可视</w:t>
            </w:r>
            <w:r>
              <w:rPr>
                <w:rFonts w:hint="eastAsia" w:ascii="宋体" w:hAnsi="宋体" w:eastAsia="宋体" w:cs="宋体"/>
                <w:i w:val="0"/>
                <w:iCs w:val="0"/>
                <w:color w:val="auto"/>
                <w:sz w:val="21"/>
                <w:szCs w:val="21"/>
                <w:u w:val="none"/>
                <w:lang w:val="en-US" w:eastAsia="zh-CN" w:bidi="ar"/>
              </w:rPr>
              <w:t xml:space="preserve">电容触摸屏、内置大容量可充电锂电池/蜂鸣器/振动马达为一体化设计，不接受分体拼接模式；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#4、配置</w:t>
            </w:r>
            <w:r>
              <w:rPr>
                <w:rFonts w:hint="eastAsia" w:ascii="宋体" w:hAnsi="宋体" w:cs="宋体"/>
                <w:i w:val="0"/>
                <w:iCs w:val="0"/>
                <w:strike w:val="0"/>
                <w:color w:val="auto"/>
                <w:sz w:val="21"/>
                <w:szCs w:val="21"/>
                <w:u w:val="none"/>
                <w:lang w:val="en-US" w:eastAsia="zh-CN" w:bidi="ar"/>
              </w:rPr>
              <w:t xml:space="preserve">可视</w:t>
            </w:r>
            <w:r>
              <w:rPr>
                <w:rFonts w:hint="eastAsia" w:ascii="宋体" w:hAnsi="宋体" w:eastAsia="宋体" w:cs="宋体"/>
                <w:i w:val="0"/>
                <w:iCs w:val="0"/>
                <w:color w:val="auto"/>
                <w:sz w:val="21"/>
                <w:szCs w:val="21"/>
                <w:u w:val="none"/>
                <w:lang w:val="en-US" w:eastAsia="zh-CN" w:bidi="ar"/>
              </w:rPr>
              <w:t xml:space="preserve">高清电容触摸屏与振动警告功能单元，支持多点触摸方式；传感器自带滚轮调节键，通过滚轮可调节电导率采集频率；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屏幕上支持曲线、仪表、表格、数字等多种显示方式，一键顺滑切换；具备曲线对比功能，可保留每次采样数据，可同时显示多组数据曲线；屏幕上可选自动、手动采样模式，自由调节采样频率、区间，可根据实验教学要求采样取值；屏幕上可选usb有线连接方式和蓝牙无线连接方式，内置蓝牙通讯模块，可根据实验教学需要切换工作模式；屏幕上可自定义逻辑指令，并执行一个或多个蜂鸣、振动、延时、记录、停止采集等指令；屏幕上可直接新建实验、保存实验、删除实验等；可直接显示电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#6、支持快速开关机功能；支持智能节能，自动关机。</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541"/>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B1-11</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氧气传感器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#1、量程：0%～100%，分辨率：0.025%。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#2、用于测量空气中氧气含量变化；手持式技术，便于直接观察数据；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#3、无需实体功能按键或触摸笔，需融合传感器、内置</w:t>
            </w:r>
            <w:r>
              <w:rPr>
                <w:rFonts w:hint="eastAsia" w:ascii="宋体" w:hAnsi="宋体" w:cs="宋体"/>
                <w:i w:val="0"/>
                <w:iCs w:val="0"/>
                <w:strike w:val="0"/>
                <w:color w:val="auto"/>
                <w:sz w:val="21"/>
                <w:szCs w:val="21"/>
                <w:u w:val="none"/>
                <w:lang w:val="en-US" w:eastAsia="zh-CN" w:bidi="ar"/>
              </w:rPr>
              <w:t xml:space="preserve">可视</w:t>
            </w:r>
            <w:r>
              <w:rPr>
                <w:rFonts w:hint="eastAsia" w:ascii="宋体" w:hAnsi="宋体" w:eastAsia="宋体" w:cs="宋体"/>
                <w:i w:val="0"/>
                <w:iCs w:val="0"/>
                <w:color w:val="auto"/>
                <w:sz w:val="21"/>
                <w:szCs w:val="21"/>
                <w:u w:val="none"/>
                <w:lang w:val="en-US" w:eastAsia="zh-CN" w:bidi="ar"/>
              </w:rPr>
              <w:t xml:space="preserve">电容触摸屏、内置大容量可充电锂电池/蜂鸣器/振动马达为一体化设计，不接受分体拼接模式；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#4、配置</w:t>
            </w:r>
            <w:r>
              <w:rPr>
                <w:rFonts w:hint="eastAsia" w:ascii="宋体" w:hAnsi="宋体" w:cs="宋体"/>
                <w:i w:val="0"/>
                <w:iCs w:val="0"/>
                <w:strike w:val="0"/>
                <w:color w:val="auto"/>
                <w:sz w:val="21"/>
                <w:szCs w:val="21"/>
                <w:u w:val="none"/>
                <w:lang w:val="en-US" w:eastAsia="zh-CN" w:bidi="ar"/>
              </w:rPr>
              <w:t xml:space="preserve">可视</w:t>
            </w:r>
            <w:r>
              <w:rPr>
                <w:rFonts w:hint="eastAsia" w:ascii="宋体" w:hAnsi="宋体" w:eastAsia="宋体" w:cs="宋体"/>
                <w:i w:val="0"/>
                <w:iCs w:val="0"/>
                <w:color w:val="auto"/>
                <w:sz w:val="21"/>
                <w:szCs w:val="21"/>
                <w:u w:val="none"/>
                <w:lang w:val="en-US" w:eastAsia="zh-CN" w:bidi="ar"/>
              </w:rPr>
              <w:t xml:space="preserve">高清电容触摸屏与振动警告功能单元，支持多点触摸方式，可通过多点触摸方式选择曲线界面内任意区域的放大缩小；传感器自带滚轮调节键，通过滚轮可调节氧气采集频率；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屏幕上支持曲线、仪表、表格、数字等多种显示方式，一键顺滑切换；具备曲线对比功能，可保留每次采样数据，可同时显示多组数据曲线；屏幕上可选自动、手动采样模式，自由调节采样频率、区间，可根据实验教学要求采样取值；屏幕上可选usb有线连接方式和蓝牙无线连接方式，内置蓝牙通讯模块，可根据实验教学需要切换工作模式；屏幕上可自定义逻辑指令，并执行一个或多个蜂鸣、振动、延时、记录、停止采集等指令；屏幕上可直接新建实验、保存实验、删除实验等；可直接显示电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#6、支持快速开关机功能；支持智能节能，自动关机。</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432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B1-12</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二氧化碳传感器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 0～50,000 ppm，分辨率：1 ppm。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#2、用于测量空气中二氧化碳含量变化；手持式技术，便于直接观察数据；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#3、无需实体功能按键或触摸笔，需融合传感器、内置</w:t>
            </w:r>
            <w:r>
              <w:rPr>
                <w:rFonts w:hint="eastAsia" w:ascii="宋体" w:hAnsi="宋体" w:cs="宋体"/>
                <w:i w:val="0"/>
                <w:iCs w:val="0"/>
                <w:strike w:val="0"/>
                <w:color w:val="auto"/>
                <w:sz w:val="21"/>
                <w:szCs w:val="21"/>
                <w:u w:val="none"/>
                <w:lang w:val="en-US" w:eastAsia="zh-CN" w:bidi="ar"/>
              </w:rPr>
              <w:t xml:space="preserve">可视</w:t>
            </w:r>
            <w:r>
              <w:rPr>
                <w:rFonts w:hint="eastAsia" w:ascii="宋体" w:hAnsi="宋体" w:eastAsia="宋体" w:cs="宋体"/>
                <w:i w:val="0"/>
                <w:iCs w:val="0"/>
                <w:color w:val="auto"/>
                <w:sz w:val="21"/>
                <w:szCs w:val="21"/>
                <w:u w:val="none"/>
                <w:lang w:val="en-US" w:eastAsia="zh-CN" w:bidi="ar"/>
              </w:rPr>
              <w:t xml:space="preserve">电容触摸屏、内置大容量可充电锂电池/蜂鸣器/振动马达为一体化设计，不接受分体拼接模式；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#4、配置</w:t>
            </w:r>
            <w:r>
              <w:rPr>
                <w:rFonts w:hint="eastAsia" w:ascii="宋体" w:hAnsi="宋体" w:cs="宋体"/>
                <w:i w:val="0"/>
                <w:iCs w:val="0"/>
                <w:strike w:val="0"/>
                <w:color w:val="auto"/>
                <w:sz w:val="21"/>
                <w:szCs w:val="21"/>
                <w:u w:val="none"/>
                <w:lang w:val="en-US" w:eastAsia="zh-CN" w:bidi="ar"/>
              </w:rPr>
              <w:t xml:space="preserve">可视</w:t>
            </w:r>
            <w:r>
              <w:rPr>
                <w:rFonts w:hint="eastAsia" w:ascii="宋体" w:hAnsi="宋体" w:eastAsia="宋体" w:cs="宋体"/>
                <w:i w:val="0"/>
                <w:iCs w:val="0"/>
                <w:color w:val="auto"/>
                <w:sz w:val="21"/>
                <w:szCs w:val="21"/>
                <w:u w:val="none"/>
                <w:lang w:val="en-US" w:eastAsia="zh-CN" w:bidi="ar"/>
              </w:rPr>
              <w:t xml:space="preserve">高清电容触摸屏与振动警告功能单元，支持多点触摸方式，可通过多点触摸方式选择曲线界面内任意区域的放大缩小；传感器自带滚轮调节键，通过滚轮可调节二氧化碳采集频率；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屏幕上支持曲线、仪表、表格、数字等多种显示方式，一键顺滑切换；具备曲线对比功能，可保留每次采样数据，可同时显示多组数据曲线；屏幕上可选自动、手动采样模式，自由调节采样频率、区间，可根据实验教学要求采样取值；屏幕上可选usb有线连接方式和蓝牙无线连接方式，内置蓝牙通讯模块，可根据实验教学需要切换工作模式；屏幕上可自定义逻辑指令，并执行一个或多个蜂鸣、振动、延时、记录、停止采集等指令；屏幕上可直接新建实验、保存实验、删除实验等；可直接显示电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#6、支持快速开关机功能；支持智能节能，自动关机。</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62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B1-13</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浊度计传感器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#1、量程：0～400 NTU，分辨率：0.1NTU。用于测量悬浮于水或透明液体中不溶性颗粒物质所产生的散射程度，标示不同悬浊液的浊度。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#2、传感器支持Type-C直连有线通讯、采集器多路有线通讯、无线通讯、独立数据显示</w:t>
            </w:r>
            <w:r>
              <w:rPr>
                <w:rFonts w:hint="eastAsia" w:ascii="宋体" w:hAnsi="宋体" w:cs="宋体"/>
                <w:i w:val="0"/>
                <w:iCs w:val="0"/>
                <w:strike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工作方式。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62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B1-14</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二氧化硫传感器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#1、量程：0～20ppm，分辨率：0.1ppm。用于检测化学反应中二氧化硫的生成。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#2、传感器支持Type-C直连有线通讯、采集器多路有线通讯、无线通讯、独立数据显示</w:t>
            </w:r>
            <w:r>
              <w:rPr>
                <w:rFonts w:hint="eastAsia" w:ascii="宋体" w:hAnsi="宋体" w:cs="宋体"/>
                <w:i w:val="0"/>
                <w:iCs w:val="0"/>
                <w:strike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62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B1-15</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一氧化碳传感器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#1、量程：20～1000ppm，分辨率：1ppm。用于测量一氧化碳气体含量。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#2、传感器支持Type-C直连有线通讯、采集器多路有线通讯、无线通讯、独立数据显示</w:t>
            </w:r>
            <w:r>
              <w:rPr>
                <w:rFonts w:hint="eastAsia" w:ascii="宋体" w:hAnsi="宋体" w:cs="宋体"/>
                <w:i w:val="0"/>
                <w:iCs w:val="0"/>
                <w:strike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43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B1-16</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多量程电流传感器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#1、量程1：-2A～+2A、分辨率：0.01A；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#2、量程2：-200mA～+200mA、分辨率：0.1mA；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#3、量程3：-20mA ～+20mA、分辨率：0.01mA ；用于测量电路中的电流。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#4、自带硬件切换按钮，短按可在≥3种量程间循环切换。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#5、传感器支持Type-C直连有线通讯、采集器多路有线通讯、无线通讯、独立数据显示</w:t>
            </w:r>
            <w:r>
              <w:rPr>
                <w:rFonts w:hint="eastAsia" w:ascii="宋体" w:hAnsi="宋体" w:cs="宋体"/>
                <w:i w:val="0"/>
                <w:iCs w:val="0"/>
                <w:strike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595"/>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B1-17</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数字化探究实验软件</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#1、符合最新初中化学教学装备配置标准，满足基础课程、探究性学习、创新实验教学的需求。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#2、软件支持所有已正式发布的同系列传感器，支持即插即用，自动识别所有传感器的类型、量程与接入的通道序号；</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#3、支持1~12路相同或不同的传感器并行采集；支持新建实验模板，支持打开预设实验模板快速进入课标实验，支持保存实验模板；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#4、支持设置采样频率，支持限时采集、循环采集、连续采集和手工采集等多种采集方式；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#5、具有曲线、仪表、表格、数字等多种显示方式，显示框可随意调节大小及位置；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#6、每个实验能多次重复，在同一坐标轴内保存多次采集结果，便于数据比较和分析；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#7、可自定义设置数据名称、单位、颜色、数据点形状；可自定义设置数值显示范围；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#8、可自由定义坐标轴，可自由放大、缩小、全景显示坐标轴，支持曲线的函数拟合、积分、切线、统计等，对实验结果进行充分分析并发现实验规律；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#9、可设置采集数据高于或者低于设定的数值时发出多种形式的警告，构建自动控制系统；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#10、软件可模拟信号发生器，产生≥2组独立的正弦波或者脉冲波信号；软件可采集音频，具有录音功能和录音播放功能，录音时间可调；软件可录制实验数据采集过程并回放，播放速率可调；</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#11、应用平台</w:t>
            </w:r>
            <w:r>
              <w:rPr>
                <w:rFonts w:hint="eastAsia" w:ascii="宋体" w:hAnsi="宋体" w:cs="宋体"/>
                <w:i w:val="0"/>
                <w:iCs w:val="0"/>
                <w:color w:val="auto"/>
                <w:sz w:val="21"/>
                <w:szCs w:val="21"/>
                <w:u w:val="none"/>
                <w:lang w:val="en-US" w:eastAsia="zh-CN" w:bidi="ar"/>
              </w:rPr>
              <w:t xml:space="preserve">支持</w:t>
            </w:r>
            <w:r>
              <w:rPr>
                <w:rFonts w:hint="eastAsia" w:ascii="宋体" w:hAnsi="宋体" w:eastAsia="宋体" w:cs="宋体"/>
                <w:i w:val="0"/>
                <w:iCs w:val="0"/>
                <w:color w:val="auto"/>
                <w:sz w:val="21"/>
                <w:szCs w:val="21"/>
                <w:u w:val="none"/>
                <w:lang w:val="en-US" w:eastAsia="zh-CN" w:bidi="ar"/>
              </w:rPr>
              <w:t xml:space="preserve">：WindowsXP、Windows7、Windows8、Windows10、Windows11等。</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B1-18</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铝合金箱及附件</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#1、手拎式铝合金箱，方便</w:t>
            </w:r>
            <w:r>
              <w:rPr>
                <w:rFonts w:hint="eastAsia" w:ascii="宋体" w:hAnsi="宋体" w:eastAsia="宋体" w:cs="宋体"/>
                <w:i w:val="0"/>
                <w:iCs w:val="0"/>
                <w:color w:val="auto"/>
                <w:sz w:val="21"/>
                <w:szCs w:val="21"/>
                <w:highlight w:val="none"/>
                <w:u w:val="none"/>
                <w:lang w:val="en-US" w:eastAsia="zh-CN" w:bidi="ar"/>
              </w:rPr>
              <w:t xml:space="preserve">携带。铝合金外架，高强度面板，硬海绵内胆。含USB连接线，配套实验手册等技术使用资料。</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B1-19</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原电池实验器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研究电解池或者原电池。用于探究化学能可以转化为电能，材料不同的电极活泼的为负极。配合微电流传感器使用。透明亚克力水槽2个、配套盖板2个、锌电极片2个、铜电极片2个、导线和LED灯，电极端材料可以替换。</w:t>
            </w:r>
            <w:r/>
          </w:p>
        </w:tc>
        <w:tc>
          <w:tcPr>
            <w:tcW w:w="36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B1-20</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酸碱反应热实验器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#1、用于中学化学探究酸碱中和反应过程中热量的测量。配合温度传感器使用。由外隔热桶、内盛液器等组成。</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B1-21</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酸碱中和滴定装置</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可探究酸碱中和滴定反应过程中pH值的变化特点，绘制中和滴定曲线，体会定量实验在化学研究中的作用。由滴定计数器（光电门传感器+定位装置），铝杆，针筒，滴定开关，滴定嘴，长尾夹，转接头和铁架台组成，</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B1-22</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磁力搅拌器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中学生化酸碱中和滴定实验、不同浓度的溶液搅拌、液体混合、组织培养实验。磁力搅拌器主体、电源适配器、磁子组成。通过调节转速旋钮调节速度，无级调速，搅拌速度为每分钟0~1800转。混合效果显著，混合容量1000毫升。工作功率：≥5W，电源电压：12V。工作台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130*130mm，外观尺寸：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150*200*</w:t>
            </w:r>
            <w:r>
              <w:rPr>
                <w:rFonts w:hint="eastAsia" w:ascii="宋体" w:hAnsi="宋体" w:cs="宋体"/>
                <w:i w:val="0"/>
                <w:iCs w:val="0"/>
                <w:color w:val="auto"/>
                <w:sz w:val="21"/>
                <w:szCs w:val="21"/>
                <w:u w:val="none"/>
                <w:lang w:val="en-US" w:eastAsia="zh-CN" w:bidi="ar"/>
              </w:rPr>
              <w:t xml:space="preserve">55</w:t>
            </w:r>
            <w:r>
              <w:rPr>
                <w:rFonts w:hint="eastAsia" w:ascii="宋体" w:hAnsi="宋体" w:eastAsia="宋体" w:cs="宋体"/>
                <w:i w:val="0"/>
                <w:iCs w:val="0"/>
                <w:color w:val="auto"/>
                <w:sz w:val="21"/>
                <w:szCs w:val="21"/>
                <w:u w:val="none"/>
                <w:lang w:val="en-US" w:eastAsia="zh-CN" w:bidi="ar"/>
              </w:rPr>
              <w:t xml:space="preserve">mm，净重：≥0.5kg。</w:t>
            </w:r>
            <w:r/>
          </w:p>
        </w:tc>
        <w:tc>
          <w:tcPr>
            <w:tcW w:w="36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B1-23</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化学反应速率实验器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探究催化剂对过氧化氢分解的影响、金属与酸反应，生物上酶催化的高效性。结合气压传感器使用。主要由密封反应瓶、泄压组件、螺口注射器组成。装置中设有注射器开关、泄压装置，充分保证了实验的安全性；螺口注射器和带盖密封反应瓶，保证实验器的密封性，大大减少因气体逸散导致的实验误差，更科学严谨。</w:t>
            </w:r>
            <w:r/>
          </w:p>
        </w:tc>
        <w:tc>
          <w:tcPr>
            <w:tcW w:w="36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B1-24</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多向转接头</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#1、装配组合部件，双向交叉，孔内径适应于标准铁架台，用于连接多种附件及传感器等。</w:t>
            </w:r>
            <w:r/>
          </w:p>
        </w:tc>
        <w:tc>
          <w:tcPr>
            <w:tcW w:w="36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B1-25</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铁的吸氧腐蚀实验器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中学化学“铁的吸氧腐蚀实验的探究”及“空气中氧气含量的测定”。由宽径浅口玻璃试管、压强鲁尔接头、多孔橡胶塞组成。通过测量反应过程中温度、压强、氧气含量的变化，探究铁的吸氧腐蚀现象。其中，采用宽径浅口玻璃试管，非普通试管或烧杯，实现增大与氧气反应的接触面积，加快反应速率，缩短反应时间，又易于观察和清洗的功能。</w:t>
            </w:r>
            <w:r/>
          </w:p>
        </w:tc>
        <w:tc>
          <w:tcPr>
            <w:tcW w:w="36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B1-26</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粉尘爆炸实验器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#1、用于中学化学燃烧和灭火实验，用于探究粉尘爆炸的实验原理。可清楚观察到淀粉燃烧和爆炸的全过程，加深学生对燃烧条件的认识，进一步了解灭火原理。由翻盖式保鲜盒（</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1.3L，长宽高为125×125×100mm，耐高温≥120℃）、穿板弯头、橡胶管、吹尘球、蜡烛、淀粉、点火枪和防火架组成。</w:t>
            </w:r>
            <w:r/>
          </w:p>
        </w:tc>
        <w:tc>
          <w:tcPr>
            <w:tcW w:w="36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B1-27</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气液相密封实验器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中学生化-水陆生植物的光合作用、蒸腾作用，种子的萌发放热，酵母菌的呼吸作用，酶的特性实验。配合温度、湿度、氧气、CO2等传感器使用。由实验盒、实验盖、不同规格的硅胶塞等组成。实验盖开孔，分别为氧气探头孔、二氧化碳探头孔和温度探头孔。</w:t>
            </w:r>
            <w:r/>
          </w:p>
        </w:tc>
        <w:tc>
          <w:tcPr>
            <w:tcW w:w="36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B1-28</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多功能电极支架</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#1、用于中学生化传感器电极的固定夹持，方便实验的操作。由底座、机械臂和电极夹构成。实验室仪器专用电极支架，5孔，可以360度旋转，可以自由伸缩。可以应用于PH计、电导率、离子计等。</w:t>
            </w:r>
            <w:r/>
          </w:p>
        </w:tc>
        <w:tc>
          <w:tcPr>
            <w:tcW w:w="36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gridSpan w:val="3"/>
            <w:tcW w:w="42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B2、学生端传感器和配套实验器材</w:t>
            </w:r>
            <w:r/>
          </w:p>
        </w:tc>
        <w:tc>
          <w:tcPr>
            <w:tcW w:w="362"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W w:w="357"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54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B2-01</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便携式实验终端</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技术参数同“B1-01 便携式实验终端”</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B2-02</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数据采集器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技术参数同“B1-02 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62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B2-03</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温度传感器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#1、量程：-50℃～250℃，分辨率：0.1℃。不锈钢探针，用于测各种物体或溶液的温度。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#2、传感器支持Type-C直连有线通讯、采集器多路有线通讯、无线通讯、独立数据显示</w:t>
            </w:r>
            <w:r>
              <w:rPr>
                <w:rFonts w:hint="eastAsia" w:ascii="宋体" w:hAnsi="宋体" w:cs="宋体"/>
                <w:i w:val="0"/>
                <w:iCs w:val="0"/>
                <w:strike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189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B2-04</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高温传感器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#1、量程：0～1200°C，分辨率：0.25°C。用于测量物体表面、气体、酸碱等液体的温度，也可用于超高温的测量。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#2、传感器支持Type-C直连有线通讯、采集器多路有线通讯、无线通讯、独立数据显示</w:t>
            </w:r>
            <w:r>
              <w:rPr>
                <w:rFonts w:hint="eastAsia" w:ascii="宋体" w:hAnsi="宋体" w:cs="宋体"/>
                <w:i w:val="0"/>
                <w:iCs w:val="0"/>
                <w:strike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89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B2-05</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气压传感器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#1、量程：0～700kPa，分辨率：0.1kPa。配有针筒，用于测量大气环境下或密闭空间内的气体的绝对压强。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#2、传感器支持Type-C直连有线通讯、采集器多路有线通讯、无线通讯、独立数据显示</w:t>
            </w:r>
            <w:r>
              <w:rPr>
                <w:rFonts w:hint="eastAsia" w:ascii="宋体" w:hAnsi="宋体" w:cs="宋体"/>
                <w:i w:val="0"/>
                <w:iCs w:val="0"/>
                <w:strike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62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B2-06</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湿度传感器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#1、量程：0%～100%RH，分辨率：0.05%。用于测量空气的相对湿度。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#2、传感器支持Type-C直连有线通讯、采集器多路有线通讯、无线通讯、独立数据显示</w:t>
            </w:r>
            <w:r>
              <w:rPr>
                <w:rFonts w:hint="eastAsia" w:ascii="宋体" w:hAnsi="宋体" w:cs="宋体"/>
                <w:i w:val="0"/>
                <w:iCs w:val="0"/>
                <w:strike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62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B2-07</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pH传感器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#1、量程：0～14 pH，分辨率：0.01 PH。用于精确测量溶液的酸碱值。</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#2、传感器支持Type-C直连有线通讯、采集器多路有线通讯、无线通讯、独立数据显示</w:t>
            </w:r>
            <w:r>
              <w:rPr>
                <w:rFonts w:hint="eastAsia" w:ascii="宋体" w:hAnsi="宋体" w:cs="宋体"/>
                <w:i w:val="0"/>
                <w:iCs w:val="0"/>
                <w:strike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113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B2-08</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电导率传感器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#1、量程：0～20000μS/cm，分辨率：10μS/cm。用于测量溶液的电导率及其变化。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#2、传感器支持Type-C直连有线通讯、采集器多路有线通讯、无线通讯、独立数据显示</w:t>
            </w:r>
            <w:r>
              <w:rPr>
                <w:rFonts w:hint="eastAsia" w:ascii="宋体" w:hAnsi="宋体" w:cs="宋体"/>
                <w:i w:val="0"/>
                <w:iCs w:val="0"/>
                <w:strike w:val="0"/>
                <w:color w:val="auto"/>
                <w:sz w:val="21"/>
                <w:szCs w:val="21"/>
                <w:u w:val="none"/>
                <w:lang w:val="en-US" w:eastAsia="zh-CN" w:bidi="ar"/>
              </w:rPr>
              <w:t xml:space="preserve">等</w:t>
            </w:r>
            <w:r>
              <w:rPr>
                <w:rFonts w:hint="eastAsia" w:ascii="宋体" w:hAnsi="宋体" w:eastAsia="宋体" w:cs="宋体"/>
                <w:i w:val="0"/>
                <w:iCs w:val="0"/>
                <w:strike w:val="0"/>
                <w:color w:val="auto"/>
                <w:sz w:val="21"/>
                <w:szCs w:val="21"/>
                <w:u w:val="none"/>
                <w:lang w:val="en-US" w:eastAsia="zh-CN" w:bidi="ar"/>
              </w:rPr>
              <w:t xml:space="preserve">工</w:t>
            </w:r>
            <w:r>
              <w:rPr>
                <w:rFonts w:hint="eastAsia" w:ascii="宋体" w:hAnsi="宋体" w:eastAsia="宋体" w:cs="宋体"/>
                <w:i w:val="0"/>
                <w:iCs w:val="0"/>
                <w:color w:val="auto"/>
                <w:sz w:val="21"/>
                <w:szCs w:val="21"/>
                <w:u w:val="none"/>
                <w:lang w:val="en-US" w:eastAsia="zh-CN" w:bidi="ar"/>
              </w:rPr>
              <w:t xml:space="preserve">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62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B2-09</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氧气传感器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#1、量程：0%～100%，分辨率：0.025%。用于测量空气中氧气含量变化。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#2、传感器支持Type-C直连有线通讯、采集器多路有线通讯、无线通讯、独立数据显示</w:t>
            </w:r>
            <w:r>
              <w:rPr>
                <w:rFonts w:hint="eastAsia" w:ascii="宋体" w:hAnsi="宋体" w:cs="宋体"/>
                <w:i w:val="0"/>
                <w:iCs w:val="0"/>
                <w:strike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62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B2-10</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二氧化碳传感器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 0～50,000 ppm，分辨率：1 ppm。用于测量空气中二氧化碳含量变化。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#2、传感器支持Type-C直连有线通讯、采集器多路有线通讯、无线通讯、独立数据显示</w:t>
            </w:r>
            <w:r>
              <w:rPr>
                <w:rFonts w:hint="eastAsia" w:ascii="宋体" w:hAnsi="宋体" w:cs="宋体"/>
                <w:i w:val="0"/>
                <w:iCs w:val="0"/>
                <w:strike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B2-11</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浊度计传感器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技术参数同“B1-13 浊度计传感器”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B2-12</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铝合金箱及附件</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技术参数同“B1-18 铝合金箱及附件”</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B2-13</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酸碱反应热实验器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技术参数同“B1-20 酸碱反应热实验器”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B2-14</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酸碱中和滴定装置</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技术参数同“B1-21 酸碱中和滴定装置”</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B2-15</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磁力搅拌器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技术参数同“B1-22 磁力搅拌器”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B2-16</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化学反应速率实验器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技术参数同“B1-23 化学反应速率实验器”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B2-17</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多向转接头</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技术参数同“B1-24 多向转接头”</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B2-18</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铁的吸氧腐蚀实验器</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技术参数同“B1-25 铁的吸氧腐蚀实验器”</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B2-19</w:t>
            </w:r>
            <w:r/>
          </w:p>
        </w:tc>
        <w:tc>
          <w:tcPr>
            <w:tcW w:w="58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多功能电极支架</w:t>
            </w:r>
            <w:r/>
          </w:p>
        </w:tc>
        <w:tc>
          <w:tcPr>
            <w:tcW w:w="3305"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技术参数同“B1-28 多功能电极支架”</w:t>
            </w:r>
            <w:r/>
          </w:p>
        </w:tc>
        <w:tc>
          <w:tcPr>
            <w:tcW w:w="36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bl>
    <w:p>
      <w:pPr>
        <w:keepLines w:val="0"/>
        <w:keepNext w:val="0"/>
        <w:pageBreakBefore w:val="0"/>
        <w:spacing w:line="400" w:lineRule="exact"/>
        <w:rPr>
          <w:rFonts w:hint="eastAsia" w:ascii="宋体" w:hAnsi="宋体" w:eastAsia="宋体" w:cs="宋体"/>
          <w:color w:val="auto"/>
          <w:sz w:val="21"/>
          <w:szCs w:val="21"/>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bl>
      <w:tblPr>
        <w:tblStyle w:val="72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57"/>
        <w:gridCol w:w="1176"/>
        <w:gridCol w:w="6591"/>
        <w:gridCol w:w="691"/>
        <w:gridCol w:w="747"/>
      </w:tblGrid>
      <w:tr>
        <w:trPr>
          <w:trHeight w:val="27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C-化学考评实验室</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7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C1、实验室基础设备配置</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C1-0</w:t>
            </w:r>
            <w:r>
              <w:rPr>
                <w:rFonts w:hint="eastAsia" w:ascii="宋体" w:hAnsi="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技术参数同“A1-01 教师演示台”</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54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C1-0</w:t>
            </w:r>
            <w:r>
              <w:rPr>
                <w:rFonts w:hint="eastAsia" w:ascii="宋体" w:hAnsi="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教师总控电源</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技术参数同“A1-02 教师总控电源”</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C1-0</w:t>
            </w:r>
            <w:r>
              <w:rPr>
                <w:rFonts w:hint="eastAsia" w:ascii="宋体" w:hAnsi="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教师椅</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技术参数同“A1-10 教师椅”</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C1-0</w:t>
            </w:r>
            <w:r>
              <w:rPr>
                <w:rFonts w:hint="eastAsia" w:ascii="宋体" w:hAnsi="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实验桌</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技术参数同“A1-03 实验桌”</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C1-0</w:t>
            </w:r>
            <w:r>
              <w:rPr>
                <w:rFonts w:hint="eastAsia" w:ascii="宋体" w:hAnsi="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功能柱</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技术参数同“A1-05 功能柱”</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81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C1-0</w:t>
            </w:r>
            <w:r>
              <w:rPr>
                <w:rFonts w:hint="eastAsia" w:ascii="宋体" w:hAnsi="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学生安全电源</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#1、学生交流2V到24V输出，电流2A，自动过载保护，自动恢复。电压2V每档，由教师集中控制；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#2、学生直流2V到24V输出，电流2A，自动过载保护，自动恢复。由教师集中控制；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#3、220V国标五孔插座，保险丝保护，工作指示；</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C1-</w:t>
            </w:r>
            <w:r>
              <w:rPr>
                <w:rFonts w:hint="eastAsia" w:ascii="宋体" w:hAnsi="宋体" w:cs="宋体"/>
                <w:i w:val="0"/>
                <w:iCs w:val="0"/>
                <w:color w:val="auto"/>
                <w:sz w:val="21"/>
                <w:szCs w:val="21"/>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技术参数同“A1-04 实验凳”</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条</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C1-</w:t>
            </w:r>
            <w:r>
              <w:rPr>
                <w:rFonts w:hint="eastAsia" w:ascii="宋体" w:hAnsi="宋体" w:cs="宋体"/>
                <w:i w:val="0"/>
                <w:iCs w:val="0"/>
                <w:color w:val="auto"/>
                <w:sz w:val="21"/>
                <w:szCs w:val="21"/>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水槽柜</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技术参数同“A1-06 水槽柜”</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C1-</w:t>
            </w:r>
            <w:r>
              <w:rPr>
                <w:rFonts w:hint="eastAsia" w:ascii="宋体" w:hAnsi="宋体" w:cs="宋体"/>
                <w:i w:val="0"/>
                <w:iCs w:val="0"/>
                <w:color w:val="auto"/>
                <w:sz w:val="21"/>
                <w:szCs w:val="21"/>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上水装置</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技术参数同“A1-07 上水装置”</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C1-</w:t>
            </w:r>
            <w:r>
              <w:rPr>
                <w:rFonts w:hint="eastAsia" w:ascii="宋体" w:hAnsi="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下水装置</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技术参数同“A1-08 下水装置”</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C1-1</w:t>
            </w:r>
            <w:r>
              <w:rPr>
                <w:rFonts w:hint="eastAsia" w:ascii="宋体" w:hAnsi="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三联水嘴</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技术参数同“A1-09 三联水嘴”</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C1-1</w:t>
            </w:r>
            <w:r>
              <w:rPr>
                <w:rFonts w:hint="eastAsia" w:ascii="宋体" w:hAnsi="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单口洗眼器</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技术参数同“A1-11 单口洗眼器”</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81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C1-1</w:t>
            </w:r>
            <w:r>
              <w:rPr>
                <w:rFonts w:hint="eastAsia" w:ascii="宋体" w:hAnsi="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#1、DN25mm阻燃线管；2.5平方国标线材，符合国家标准；                                                                        </w:t>
            </w:r>
            <w:r>
              <w:rPr>
                <w:rFonts w:hint="eastAsia" w:ascii="宋体" w:hAnsi="宋体" w:eastAsia="宋体" w:cs="宋体"/>
                <w:i w:val="0"/>
                <w:iCs w:val="0"/>
                <w:color w:val="auto"/>
                <w:sz w:val="21"/>
                <w:szCs w:val="21"/>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C1-1</w:t>
            </w:r>
            <w:r>
              <w:rPr>
                <w:rFonts w:hint="eastAsia" w:ascii="宋体" w:hAnsi="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给、排水系统（地面以上部分）</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#1、ф32、ф25、ф20；DN75、DN50</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给水：采用PPR复合管敷设；排水：使用国标UPVC专用排水管；  </w:t>
            </w: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eastAsia="宋体" w:cs="宋体"/>
                <w:i w:val="0"/>
                <w:iCs w:val="0"/>
                <w:color w:val="auto"/>
                <w:sz w:val="21"/>
                <w:szCs w:val="21"/>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C1-1</w:t>
            </w:r>
            <w:r>
              <w:rPr>
                <w:rFonts w:hint="eastAsia" w:ascii="宋体" w:hAnsi="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万向吸风罩</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技术参数同“A4-01 万向吸风罩”</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C1-1</w:t>
            </w:r>
            <w:r>
              <w:rPr>
                <w:rFonts w:hint="eastAsia" w:ascii="宋体" w:hAnsi="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室内</w:t>
            </w:r>
            <w:r>
              <w:rPr>
                <w:rFonts w:hint="eastAsia" w:ascii="宋体" w:hAnsi="宋体" w:cs="宋体"/>
                <w:i w:val="0"/>
                <w:iCs w:val="0"/>
                <w:color w:val="auto"/>
                <w:sz w:val="21"/>
                <w:szCs w:val="21"/>
                <w:u w:val="none"/>
                <w:lang w:val="en-US" w:eastAsia="zh-CN" w:bidi="ar"/>
              </w:rPr>
              <w:t xml:space="preserve">行程</w:t>
            </w:r>
            <w:r>
              <w:rPr>
                <w:rFonts w:hint="eastAsia" w:ascii="宋体" w:hAnsi="宋体" w:eastAsia="宋体" w:cs="宋体"/>
                <w:i w:val="0"/>
                <w:iCs w:val="0"/>
                <w:color w:val="auto"/>
                <w:sz w:val="21"/>
                <w:szCs w:val="21"/>
                <w:u w:val="none"/>
                <w:lang w:val="en-US" w:eastAsia="zh-CN" w:bidi="ar"/>
              </w:rPr>
              <w:t xml:space="preserve">通风系统</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技术参数同“A4-02 室内</w:t>
            </w:r>
            <w:r>
              <w:rPr>
                <w:rFonts w:hint="eastAsia" w:ascii="宋体" w:hAnsi="宋体" w:cs="宋体"/>
                <w:i w:val="0"/>
                <w:iCs w:val="0"/>
                <w:color w:val="auto"/>
                <w:sz w:val="21"/>
                <w:szCs w:val="21"/>
                <w:u w:val="none"/>
                <w:lang w:val="en-US" w:eastAsia="zh-CN" w:bidi="ar"/>
              </w:rPr>
              <w:t xml:space="preserve">行程</w:t>
            </w:r>
            <w:r>
              <w:rPr>
                <w:rFonts w:hint="eastAsia" w:ascii="宋体" w:hAnsi="宋体" w:eastAsia="宋体" w:cs="宋体"/>
                <w:i w:val="0"/>
                <w:iCs w:val="0"/>
                <w:color w:val="auto"/>
                <w:sz w:val="21"/>
                <w:szCs w:val="21"/>
                <w:u w:val="none"/>
                <w:lang w:val="en-US" w:eastAsia="zh-CN" w:bidi="ar"/>
              </w:rPr>
              <w:t xml:space="preserve">通风系统”</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C1-</w:t>
            </w:r>
            <w:r>
              <w:rPr>
                <w:rFonts w:hint="eastAsia" w:ascii="宋体" w:hAnsi="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室外</w:t>
            </w:r>
            <w:r>
              <w:rPr>
                <w:rFonts w:hint="eastAsia" w:ascii="宋体" w:hAnsi="宋体" w:cs="宋体"/>
                <w:i w:val="0"/>
                <w:iCs w:val="0"/>
                <w:color w:val="auto"/>
                <w:sz w:val="21"/>
                <w:szCs w:val="21"/>
                <w:u w:val="none"/>
                <w:lang w:val="en-US" w:eastAsia="zh-CN" w:bidi="ar"/>
              </w:rPr>
              <w:t xml:space="preserve">行程</w:t>
            </w:r>
            <w:r>
              <w:rPr>
                <w:rFonts w:hint="eastAsia" w:ascii="宋体" w:hAnsi="宋体" w:eastAsia="宋体" w:cs="宋体"/>
                <w:i w:val="0"/>
                <w:iCs w:val="0"/>
                <w:color w:val="auto"/>
                <w:sz w:val="21"/>
                <w:szCs w:val="21"/>
                <w:u w:val="none"/>
                <w:lang w:val="en-US" w:eastAsia="zh-CN" w:bidi="ar"/>
              </w:rPr>
              <w:t xml:space="preserve">通风系统</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技术参数同“A4-03 室外</w:t>
            </w:r>
            <w:r>
              <w:rPr>
                <w:rFonts w:hint="eastAsia" w:ascii="宋体" w:hAnsi="宋体" w:cs="宋体"/>
                <w:i w:val="0"/>
                <w:iCs w:val="0"/>
                <w:color w:val="auto"/>
                <w:sz w:val="21"/>
                <w:szCs w:val="21"/>
                <w:u w:val="none"/>
                <w:lang w:val="en-US" w:eastAsia="zh-CN" w:bidi="ar"/>
              </w:rPr>
              <w:t xml:space="preserve">行程</w:t>
            </w:r>
            <w:r>
              <w:rPr>
                <w:rFonts w:hint="eastAsia" w:ascii="宋体" w:hAnsi="宋体" w:eastAsia="宋体" w:cs="宋体"/>
                <w:i w:val="0"/>
                <w:iCs w:val="0"/>
                <w:color w:val="auto"/>
                <w:sz w:val="21"/>
                <w:szCs w:val="21"/>
                <w:u w:val="none"/>
                <w:lang w:val="en-US" w:eastAsia="zh-CN" w:bidi="ar"/>
              </w:rPr>
              <w:t xml:space="preserve">通风系统”</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C1-</w:t>
            </w:r>
            <w:r>
              <w:rPr>
                <w:rFonts w:hint="eastAsia" w:ascii="宋体" w:hAnsi="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通风</w:t>
            </w:r>
            <w:r>
              <w:rPr>
                <w:rFonts w:hint="eastAsia" w:ascii="宋体" w:hAnsi="宋体" w:eastAsia="宋体" w:cs="宋体"/>
                <w:i w:val="0"/>
                <w:iCs w:val="0"/>
                <w:color w:val="auto"/>
                <w:sz w:val="21"/>
                <w:szCs w:val="21"/>
                <w:u w:val="none"/>
                <w:lang w:val="en-US" w:eastAsia="zh-CN" w:bidi="ar"/>
              </w:rPr>
              <w:t xml:space="preserve">风机</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技术参数同“A4-04 </w:t>
            </w:r>
            <w:r>
              <w:rPr>
                <w:rFonts w:hint="eastAsia" w:ascii="宋体" w:hAnsi="宋体" w:cs="宋体"/>
                <w:i w:val="0"/>
                <w:iCs w:val="0"/>
                <w:color w:val="auto"/>
                <w:sz w:val="21"/>
                <w:szCs w:val="21"/>
                <w:u w:val="none"/>
                <w:lang w:val="en-US" w:eastAsia="zh-CN" w:bidi="ar"/>
              </w:rPr>
              <w:t xml:space="preserve">通风</w:t>
            </w:r>
            <w:r>
              <w:rPr>
                <w:rFonts w:hint="eastAsia" w:ascii="宋体" w:hAnsi="宋体" w:eastAsia="宋体" w:cs="宋体"/>
                <w:i w:val="0"/>
                <w:iCs w:val="0"/>
                <w:color w:val="auto"/>
                <w:sz w:val="21"/>
                <w:szCs w:val="21"/>
                <w:u w:val="none"/>
                <w:lang w:val="en-US" w:eastAsia="zh-CN" w:bidi="ar"/>
              </w:rPr>
              <w:t xml:space="preserve">风机”</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C1-</w:t>
            </w:r>
            <w:r>
              <w:rPr>
                <w:rFonts w:hint="eastAsia" w:ascii="宋体" w:hAnsi="宋体" w:cs="宋体"/>
                <w:i w:val="0"/>
                <w:iCs w:val="0"/>
                <w:color w:val="auto"/>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变频器</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技术参数同“A4-05 变频器”</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C1-2</w:t>
            </w:r>
            <w:r>
              <w:rPr>
                <w:rFonts w:hint="eastAsia" w:ascii="宋体" w:hAnsi="宋体" w:cs="宋体"/>
                <w:i w:val="0"/>
                <w:iCs w:val="0"/>
                <w:color w:val="auto"/>
                <w:sz w:val="21"/>
                <w:szCs w:val="21"/>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消音器</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技术参数同“A4-06 消音器”</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C1-2</w:t>
            </w:r>
            <w:r>
              <w:rPr>
                <w:rFonts w:hint="eastAsia" w:ascii="宋体" w:hAnsi="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风机软连接</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技术参数同“A4-07 风机软连接”</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C1-2</w:t>
            </w:r>
            <w:r>
              <w:rPr>
                <w:rFonts w:hint="eastAsia" w:ascii="宋体" w:hAnsi="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风机控制线</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技术参数同“A4-08 风机控制线”</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C1-2</w:t>
            </w:r>
            <w:r>
              <w:rPr>
                <w:rFonts w:hint="eastAsia" w:ascii="宋体" w:hAnsi="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智能云盒</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技术参数同“A1-12 智能云盒”</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54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C1-2</w:t>
            </w:r>
            <w:r>
              <w:rPr>
                <w:rFonts w:hint="eastAsia" w:ascii="宋体" w:hAnsi="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课堂交互系统软件</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技术参数同“A1-13 课堂交互系统软件”</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C1-2</w:t>
            </w:r>
            <w:r>
              <w:rPr>
                <w:rFonts w:hint="eastAsia" w:ascii="宋体" w:hAnsi="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互动音频处理器</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技术参数同“A1-14 互动音频处理器”</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C1-2</w:t>
            </w:r>
            <w:r>
              <w:rPr>
                <w:rFonts w:hint="eastAsia" w:ascii="宋体" w:hAnsi="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全向麦克风</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技术参数同“A1-15 全向麦克风”</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C1-</w:t>
            </w:r>
            <w:r>
              <w:rPr>
                <w:rFonts w:hint="eastAsia" w:ascii="宋体" w:hAnsi="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指向麦克风</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技术参数同“A1-16 指向麦克风”</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C1-</w:t>
            </w:r>
            <w:r>
              <w:rPr>
                <w:rFonts w:hint="eastAsia" w:ascii="宋体" w:hAnsi="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音箱</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技术参数同“A1-17 音箱”</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C1-</w:t>
            </w:r>
            <w:r>
              <w:rPr>
                <w:rFonts w:hint="eastAsia" w:ascii="宋体" w:hAnsi="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跟踪摄像机</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技术参数同“A1-18 跟踪摄像机”</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C1-</w:t>
            </w:r>
            <w:r>
              <w:rPr>
                <w:rFonts w:hint="eastAsia" w:ascii="宋体" w:hAnsi="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云台摄像机</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技术参数同“A1-19 云台摄像机”</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C1-3</w:t>
            </w:r>
            <w:r>
              <w:rPr>
                <w:rFonts w:hint="eastAsia" w:ascii="宋体" w:hAnsi="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互动电视机</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技术参数同“A1-20 互动</w:t>
            </w:r>
            <w:r>
              <w:rPr>
                <w:rFonts w:hint="eastAsia" w:ascii="宋体" w:hAnsi="宋体" w:cs="宋体"/>
                <w:i w:val="0"/>
                <w:iCs w:val="0"/>
                <w:color w:val="auto"/>
                <w:sz w:val="21"/>
                <w:szCs w:val="21"/>
                <w:u w:val="none"/>
                <w:lang w:val="en-US" w:eastAsia="zh-CN" w:bidi="ar"/>
              </w:rPr>
              <w:t xml:space="preserve">电视机</w:t>
            </w:r>
            <w:r>
              <w:rPr>
                <w:rFonts w:hint="eastAsia" w:ascii="宋体" w:hAnsi="宋体" w:eastAsia="宋体" w:cs="宋体"/>
                <w:i w:val="0"/>
                <w:iCs w:val="0"/>
                <w:color w:val="auto"/>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7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C2、智能控制系统</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C2-01</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智能系统控制箱</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技术参数同“A2-01 智能系统控制箱”</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C2-02</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智能控制屏</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技术参数同“A2-02 智能控制屏”</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C2-03</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吊装控制系统</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技术参数同“A2-03 吊装控制系统”</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C2-04</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温湿度探测系统</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技术参数同“A2-04 温湿度探测系统”</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7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C3、顶部集成供给系统</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C3-01</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吊装主体框架</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技术参数同“A3-01 吊装主体框架”</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C3-02</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主体保护罩</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技术参数同“A3-02 主体保护罩”</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C3-03</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吊装端头</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技术参数同“A3-03 吊装端头”</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C3-04</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智能摇臂升降系统</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技术参数同“A3-04 智能摇臂升降系统”</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C3-05</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集成功能模块</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技术参数同“A3-05 集成功能模块”</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C3-06</w:t>
            </w:r>
            <w:r/>
          </w:p>
        </w:tc>
        <w:tc>
          <w:tcPr>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电源供应模块</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C3-07</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保险模块</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技术参数同“A3-07 保险模块”</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C3-08</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急停装置</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技术参数同“A3-08 急停装置”</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C3-09</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供电线路</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技术参数同“A3-09 供电线路”</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C3-10</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照明系统</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技术参数同“A3-10 照明系统”</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C3-11</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举手系统</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技术参数同“A3-11 举手系统”</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C3-12</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自动给排水系统</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技术参数同“A3-12 自动给排水系统”</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C3-13</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给排水接口</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技术参数同“A3-13 给排水接口”</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C3-14</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给水管路</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技术参数同“A3-14 给水管路”</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C3-15</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排水管路</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技术参数同“A3-15 排水管路”</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C3-16</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学生端分组控制系统</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技术参数同“A3-16 学生端分组控制系统”</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C3-17</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系统安装辅件</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技术参数同“A3-17 系统安装辅件”</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7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C4、实验室信息化系统相关配置及配套服务</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2045"/>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C4-01</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实验台信息采集终端</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#1、一体化设计终端，整机由≥2个摄像头、≥1块触摸屏、≥1个底座组成，整机没有任何外露线材；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#2、终端可根据需要固定在桌面也可便携移动；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#3、能实时视频采集考生考试过程，视频数据自动存储到本机，并自动传输至上一级存储设备上；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#4、处理器≥6核心，主频≥1.8GHz；内存≥4G，存储空间≥32GB；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▲5、设备应具有≥11.5英寸触摸屏，分辨率≥1920*1080，正面屏占比≥75%，支持翻转角度≥150°，并可以在可活动范围任意角度悬停；</w:t>
            </w:r>
            <w:r>
              <w:rPr>
                <w:rFonts w:hint="eastAsia" w:ascii="宋体" w:hAnsi="宋体" w:eastAsia="宋体" w:cs="宋体"/>
                <w:b/>
                <w:bCs/>
                <w:i w:val="0"/>
                <w:iCs w:val="0"/>
                <w:color w:val="auto"/>
                <w:sz w:val="21"/>
                <w:szCs w:val="21"/>
                <w:u w:val="none"/>
                <w:lang w:val="en-US" w:eastAsia="zh-CN" w:bidi="ar"/>
              </w:rPr>
              <w:t xml:space="preserve">（提供具有CMA标识的第三方检测机构出具的检测报告原件扫描件或产品白皮书或官网截图）</w:t>
            </w:r>
            <w:r>
              <w:rPr>
                <w:rStyle w:val="961"/>
                <w:rFonts w:hint="eastAsia" w:ascii="宋体" w:hAnsi="宋体" w:eastAsia="宋体" w:cs="宋体"/>
                <w:color w:val="auto"/>
                <w:sz w:val="21"/>
                <w:szCs w:val="21"/>
                <w:lang w:val="en-US" w:eastAsia="zh-CN" w:bidi="ar"/>
              </w:rPr>
              <w:br/>
            </w:r>
            <w:r>
              <w:rPr>
                <w:rStyle w:val="961"/>
                <w:rFonts w:hint="eastAsia" w:ascii="宋体" w:hAnsi="宋体" w:eastAsia="宋体" w:cs="宋体"/>
                <w:color w:val="auto"/>
                <w:sz w:val="21"/>
                <w:szCs w:val="21"/>
                <w:lang w:val="en-US" w:eastAsia="zh-CN" w:bidi="ar"/>
              </w:rPr>
              <w:t xml:space="preserve">▲6、具有≥1个USB2.0接口，≥1个USB3.0接口；具有≥1个HDMI接口，可以输出≥1路1080P视频信号,用于拓展显示屏画面；具有≥1个Type-C接口，可以用于调试模式；</w:t>
            </w:r>
            <w:r>
              <w:rPr>
                <w:rFonts w:hint="eastAsia" w:ascii="宋体" w:hAnsi="宋体" w:eastAsia="宋体" w:cs="宋体"/>
                <w:b/>
                <w:bCs/>
                <w:i w:val="0"/>
                <w:iCs w:val="0"/>
                <w:color w:val="auto"/>
                <w:sz w:val="21"/>
                <w:szCs w:val="21"/>
                <w:u w:val="none"/>
                <w:lang w:val="en-US" w:eastAsia="zh-CN" w:bidi="ar"/>
              </w:rPr>
              <w:t xml:space="preserve">（提供具有CMA标识的第三方检测机构出具的检测报告原件扫描件或产品白皮书或官网截图）</w:t>
            </w:r>
            <w:r>
              <w:rPr>
                <w:rStyle w:val="961"/>
                <w:rFonts w:hint="eastAsia" w:ascii="宋体" w:hAnsi="宋体" w:eastAsia="宋体" w:cs="宋体"/>
                <w:color w:val="auto"/>
                <w:sz w:val="21"/>
                <w:szCs w:val="21"/>
                <w:lang w:val="en-US" w:eastAsia="zh-CN" w:bidi="ar"/>
              </w:rPr>
              <w:br/>
            </w:r>
            <w:r>
              <w:rPr>
                <w:rStyle w:val="961"/>
                <w:rFonts w:hint="eastAsia" w:ascii="宋体" w:hAnsi="宋体" w:eastAsia="宋体" w:cs="宋体"/>
                <w:color w:val="auto"/>
                <w:sz w:val="21"/>
                <w:szCs w:val="21"/>
                <w:lang w:val="en-US" w:eastAsia="zh-CN" w:bidi="ar"/>
              </w:rPr>
              <w:t xml:space="preserve">#7、具有≥1个航空接口,具有螺纹锁紧设计，采用≥6P航空头设计，可以输出≥12V供电，可以外接网络云台摄像机，支持控制外接带机械云台的网络摄像机，在本机上可以通过触屏对机械云台摄像机进行放大、缩小、聚焦控制、“上、下、左、右”控制；</w:t>
            </w:r>
            <w:r>
              <w:rPr>
                <w:rStyle w:val="961"/>
                <w:rFonts w:hint="eastAsia" w:ascii="宋体" w:hAnsi="宋体" w:eastAsia="宋体" w:cs="宋体"/>
                <w:color w:val="auto"/>
                <w:sz w:val="21"/>
                <w:szCs w:val="21"/>
                <w:lang w:val="en-US" w:eastAsia="zh-CN" w:bidi="ar"/>
              </w:rPr>
              <w:br/>
            </w:r>
            <w:r>
              <w:rPr>
                <w:rStyle w:val="961"/>
                <w:rFonts w:hint="eastAsia" w:ascii="宋体" w:hAnsi="宋体" w:eastAsia="宋体" w:cs="宋体"/>
                <w:color w:val="auto"/>
                <w:sz w:val="21"/>
                <w:szCs w:val="21"/>
                <w:lang w:val="en-US" w:eastAsia="zh-CN" w:bidi="ar"/>
              </w:rPr>
              <w:t xml:space="preserve">▲8、视频采集：≥2路摄像头，每路摄像头均≥450万像素，每路摄像头均支持但不限于2880*1620、2560*1440、1920*1080等分辨率，支持多码流传输，视频帧率≥25 帧/秒，支持H.264/H.265视频压缩编码，支持本地存储或本地视频汇聚与缓存功能；</w:t>
            </w:r>
            <w:r>
              <w:rPr>
                <w:rFonts w:hint="eastAsia" w:ascii="宋体" w:hAnsi="宋体" w:eastAsia="宋体" w:cs="宋体"/>
                <w:b/>
                <w:bCs/>
                <w:i w:val="0"/>
                <w:iCs w:val="0"/>
                <w:color w:val="auto"/>
                <w:sz w:val="21"/>
                <w:szCs w:val="21"/>
                <w:u w:val="none"/>
                <w:lang w:val="en-US" w:eastAsia="zh-CN" w:bidi="ar"/>
              </w:rPr>
              <w:t xml:space="preserve">（提供具有CMA标识的第三方检测机构出具的检测报告原件扫描件或产品白皮书或官网截图）</w:t>
            </w:r>
            <w:r>
              <w:rPr>
                <w:rStyle w:val="961"/>
                <w:rFonts w:hint="eastAsia" w:ascii="宋体" w:hAnsi="宋体" w:eastAsia="宋体" w:cs="宋体"/>
                <w:color w:val="auto"/>
                <w:sz w:val="21"/>
                <w:szCs w:val="21"/>
                <w:lang w:val="en-US" w:eastAsia="zh-CN" w:bidi="ar"/>
              </w:rPr>
              <w:br/>
            </w:r>
            <w:r>
              <w:rPr>
                <w:rStyle w:val="961"/>
                <w:rFonts w:hint="eastAsia" w:ascii="宋体" w:hAnsi="宋体" w:eastAsia="宋体" w:cs="宋体"/>
                <w:color w:val="auto"/>
                <w:sz w:val="21"/>
                <w:szCs w:val="21"/>
                <w:lang w:val="en-US" w:eastAsia="zh-CN" w:bidi="ar"/>
              </w:rPr>
              <w:t xml:space="preserve">#9、俯视角摄像头支架可调节，覆盖整个实验台操作区域；俯视角摄像头支持从上往下拍摄，具有≥2个转动轴，可通过转动轴完成拍摄角度和高度的调整，每个转动轴均具有阻尼设计，角度调整完成后，可保持固定角度和高度拍摄，便于快捷调节俯视角摄像头到位；</w:t>
            </w:r>
            <w:r>
              <w:rPr>
                <w:rStyle w:val="961"/>
                <w:rFonts w:hint="eastAsia" w:ascii="宋体" w:hAnsi="宋体" w:eastAsia="宋体" w:cs="宋体"/>
                <w:color w:val="auto"/>
                <w:sz w:val="21"/>
                <w:szCs w:val="21"/>
                <w:lang w:val="en-US" w:eastAsia="zh-CN" w:bidi="ar"/>
              </w:rPr>
              <w:br/>
            </w:r>
            <w:r>
              <w:rPr>
                <w:rStyle w:val="961"/>
                <w:rFonts w:hint="eastAsia" w:ascii="宋体" w:hAnsi="宋体" w:eastAsia="宋体" w:cs="宋体"/>
                <w:color w:val="auto"/>
                <w:sz w:val="21"/>
                <w:szCs w:val="21"/>
                <w:lang w:val="en-US" w:eastAsia="zh-CN" w:bidi="ar"/>
              </w:rPr>
              <w:t xml:space="preserve">#10、正视角摄像头支架可调节，可以在垂直桌面的方向进行上下滑动，可调整垂直高度，上下滑动时整机设备的总高度不变，可调范围≥10cm，可调范围具有明确的刻度标识，可以在可活动范围内任意位置悬停；</w:t>
            </w:r>
            <w:r>
              <w:rPr>
                <w:rStyle w:val="961"/>
                <w:rFonts w:hint="eastAsia" w:ascii="宋体" w:hAnsi="宋体" w:eastAsia="宋体" w:cs="宋体"/>
                <w:color w:val="auto"/>
                <w:sz w:val="21"/>
                <w:szCs w:val="21"/>
                <w:lang w:val="en-US" w:eastAsia="zh-CN" w:bidi="ar"/>
              </w:rPr>
              <w:br/>
            </w:r>
            <w:r>
              <w:rPr>
                <w:rStyle w:val="961"/>
                <w:rFonts w:hint="eastAsia" w:ascii="宋体" w:hAnsi="宋体" w:eastAsia="宋体" w:cs="宋体"/>
                <w:color w:val="auto"/>
                <w:sz w:val="21"/>
                <w:szCs w:val="21"/>
                <w:lang w:val="en-US" w:eastAsia="zh-CN" w:bidi="ar"/>
              </w:rPr>
              <w:t xml:space="preserve">#11、满足考试视频录制和传输性能要求；可支持无线 WIFI，满足教学场景灵活应用；</w:t>
            </w:r>
            <w:r>
              <w:rPr>
                <w:rStyle w:val="961"/>
                <w:rFonts w:hint="eastAsia" w:ascii="宋体" w:hAnsi="宋体" w:eastAsia="宋体" w:cs="宋体"/>
                <w:color w:val="auto"/>
                <w:sz w:val="21"/>
                <w:szCs w:val="21"/>
                <w:lang w:val="en-US" w:eastAsia="zh-CN" w:bidi="ar"/>
              </w:rPr>
              <w:br/>
            </w:r>
            <w:r>
              <w:rPr>
                <w:rStyle w:val="961"/>
                <w:rFonts w:hint="eastAsia" w:ascii="宋体" w:hAnsi="宋体" w:eastAsia="宋体" w:cs="宋体"/>
                <w:color w:val="auto"/>
                <w:sz w:val="21"/>
                <w:szCs w:val="21"/>
                <w:lang w:val="en-US" w:eastAsia="zh-CN" w:bidi="ar"/>
              </w:rPr>
              <w:t xml:space="preserve">#12、POE特性：具有≥100Mbps的以太网端口，支持POE供电，可通过POE网线支撑整机（包括内置操作系统、摄像头、触摸屏）的供电和供网；</w:t>
            </w:r>
            <w:r>
              <w:rPr>
                <w:rStyle w:val="961"/>
                <w:rFonts w:hint="eastAsia" w:ascii="宋体" w:hAnsi="宋体" w:eastAsia="宋体" w:cs="宋体"/>
                <w:color w:val="auto"/>
                <w:sz w:val="21"/>
                <w:szCs w:val="21"/>
                <w:lang w:val="en-US" w:eastAsia="zh-CN" w:bidi="ar"/>
              </w:rPr>
              <w:br/>
            </w:r>
            <w:r>
              <w:rPr>
                <w:rStyle w:val="961"/>
                <w:rFonts w:hint="eastAsia" w:ascii="宋体" w:hAnsi="宋体" w:eastAsia="宋体" w:cs="宋体"/>
                <w:color w:val="auto"/>
                <w:sz w:val="21"/>
                <w:szCs w:val="21"/>
                <w:lang w:val="en-US" w:eastAsia="zh-CN" w:bidi="ar"/>
              </w:rPr>
              <w:t xml:space="preserve">#13、独立式网络相机设计：终端的每路摄像头均具有独立的IP地址，均能提供独立的IP网络视频流供第三方监控系统调用，支持标准RTSP、ONVIF协议；当终端软件停止运行时，监考端、服务器以及第三方NVR依然可正常获取摄像头的视频画面，确保录制安全性；</w:t>
            </w:r>
            <w:r>
              <w:rPr>
                <w:rStyle w:val="961"/>
                <w:rFonts w:hint="eastAsia" w:ascii="宋体" w:hAnsi="宋体" w:eastAsia="宋体" w:cs="宋体"/>
                <w:color w:val="auto"/>
                <w:sz w:val="21"/>
                <w:szCs w:val="21"/>
                <w:lang w:val="en-US" w:eastAsia="zh-CN" w:bidi="ar"/>
              </w:rPr>
              <w:br/>
            </w:r>
            <w:r>
              <w:rPr>
                <w:rStyle w:val="961"/>
                <w:rFonts w:hint="eastAsia" w:ascii="宋体" w:hAnsi="宋体" w:eastAsia="宋体" w:cs="宋体"/>
                <w:color w:val="auto"/>
                <w:sz w:val="21"/>
                <w:szCs w:val="21"/>
                <w:lang w:val="en-US" w:eastAsia="zh-CN" w:bidi="ar"/>
              </w:rPr>
              <w:t xml:space="preserve">#14、供电：具有220V转DC持续供电，支持POE供电；</w:t>
            </w:r>
            <w:r>
              <w:rPr>
                <w:rStyle w:val="961"/>
                <w:rFonts w:hint="eastAsia" w:ascii="宋体" w:hAnsi="宋体" w:eastAsia="宋体" w:cs="宋体"/>
                <w:color w:val="auto"/>
                <w:sz w:val="21"/>
                <w:szCs w:val="21"/>
                <w:lang w:val="en-US" w:eastAsia="zh-CN" w:bidi="ar"/>
              </w:rPr>
              <w:br/>
            </w:r>
            <w:r>
              <w:rPr>
                <w:rStyle w:val="961"/>
                <w:rFonts w:hint="eastAsia" w:ascii="宋体" w:hAnsi="宋体" w:eastAsia="宋体" w:cs="宋体"/>
                <w:color w:val="auto"/>
                <w:sz w:val="21"/>
                <w:szCs w:val="21"/>
                <w:lang w:val="en-US" w:eastAsia="zh-CN" w:bidi="ar"/>
              </w:rPr>
              <w:t xml:space="preserve">#15、本地录制及批注：支持本机视频录制，与其他端的视频录制功能互不影响，即使在断网或服务器故障的情况下也能正常使用；支持在本机视频录制过程中进行书写批注，批注方式多样，包括但不限于手写、方框、箭头、圆圈等，可以调整批注笔触的粗细、颜色，批注完成后可以截图保存；提供文件管理页面，方便查看所有录制的视频和批注截图；</w:t>
            </w:r>
            <w:r>
              <w:rPr>
                <w:rStyle w:val="961"/>
                <w:rFonts w:hint="eastAsia" w:ascii="宋体" w:hAnsi="宋体" w:eastAsia="宋体" w:cs="宋体"/>
                <w:color w:val="auto"/>
                <w:sz w:val="21"/>
                <w:szCs w:val="21"/>
                <w:lang w:val="en-US" w:eastAsia="zh-CN" w:bidi="ar"/>
              </w:rPr>
              <w:br/>
            </w:r>
            <w:r>
              <w:rPr>
                <w:rStyle w:val="961"/>
                <w:rFonts w:hint="eastAsia" w:ascii="宋体" w:hAnsi="宋体" w:eastAsia="宋体" w:cs="宋体"/>
                <w:color w:val="auto"/>
                <w:sz w:val="21"/>
                <w:szCs w:val="21"/>
                <w:lang w:val="en-US" w:eastAsia="zh-CN" w:bidi="ar"/>
              </w:rPr>
              <w:t xml:space="preserve">#16、双向互动批注：支持在教室的大屏一体机上观看本机实时直播画面和实时批注；同时支持在大屏一体机上进行反向批注，本机上也能实时看到反向批注的内容；</w:t>
            </w:r>
            <w:r>
              <w:rPr>
                <w:rStyle w:val="961"/>
                <w:rFonts w:hint="eastAsia" w:ascii="宋体" w:hAnsi="宋体" w:eastAsia="宋体" w:cs="宋体"/>
                <w:color w:val="auto"/>
                <w:sz w:val="21"/>
                <w:szCs w:val="21"/>
                <w:lang w:val="en-US" w:eastAsia="zh-CN" w:bidi="ar"/>
              </w:rPr>
              <w:br/>
            </w:r>
            <w:r>
              <w:rPr>
                <w:rStyle w:val="961"/>
                <w:rFonts w:hint="eastAsia" w:ascii="宋体" w:hAnsi="宋体" w:eastAsia="宋体" w:cs="宋体"/>
                <w:color w:val="auto"/>
                <w:sz w:val="21"/>
                <w:szCs w:val="21"/>
                <w:lang w:val="en-US" w:eastAsia="zh-CN" w:bidi="ar"/>
              </w:rPr>
              <w:t xml:space="preserve">#17、直播调试：支持生成1个直播间二维码，可通过手机微信扫码进入直播间；直播过程中，可在≥2个本机的摄像头之间任意选择一个摄像头作为直播画面，并且切换画面后直播不会中断。</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5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C4-02</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考生终端软件</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#1、软件架构：采用C/S客户端或B/S架构设计，与考室监考端的通讯地址绑定，修改绑定的监考端通讯地址后，系统能自动接收考室的信息；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#2、跨网通信：终端软</w:t>
            </w:r>
            <w:r>
              <w:rPr>
                <w:rFonts w:hint="eastAsia" w:ascii="宋体" w:hAnsi="宋体" w:eastAsia="宋体" w:cs="宋体"/>
                <w:i w:val="0"/>
                <w:iCs w:val="0"/>
                <w:color w:val="auto"/>
                <w:sz w:val="21"/>
                <w:szCs w:val="21"/>
                <w:highlight w:val="none"/>
                <w:u w:val="none"/>
                <w:lang w:val="en-US" w:eastAsia="zh-CN" w:bidi="ar"/>
              </w:rPr>
              <w:t xml:space="preserve">件只与考室监考端通信，不与考试管理系统进行通信，实现网络隔离，可以通过监考端转发信息实现视频录制；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#3、IP配置：支持通过DHCP配置自动</w:t>
            </w:r>
            <w:r>
              <w:rPr>
                <w:rFonts w:hint="eastAsia" w:ascii="宋体" w:hAnsi="宋体" w:eastAsia="宋体" w:cs="宋体"/>
                <w:i w:val="0"/>
                <w:iCs w:val="0"/>
                <w:color w:val="auto"/>
                <w:sz w:val="21"/>
                <w:szCs w:val="21"/>
                <w:u w:val="none"/>
                <w:lang w:val="en-US" w:eastAsia="zh-CN" w:bidi="ar"/>
              </w:rPr>
              <w:t xml:space="preserve">获取IP，支持手动配置固定IP；</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#4、网络连接方式：支持有线或无线连接；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#5、多类视频接入：支持接入USB摄像机、网络摄像机，可支持≥1080P；</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#6、外接设备设置：支持接入数码显微镜、电子目镜；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#7、快速备换：当有设备发生故障时，备用终端仅需改动座位号即可快速替换使用，其他配置无需改动；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#8、状态上报：不间断向上级平台上报自身运行状态，包括：IP地址、磁盘使用率、版本号、座位号等；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#9、模式切换：拥有考试模式、练习模式，用户可在不同模式之间自由切换，但是以监考端的统一指令为最高优先级指令；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#10、屏幕录制：支持在考试时自动开启后台屏幕录制，对终端的屏幕所显示的画面进行录制并保存为MP4文件；屏幕录制功能不受软件崩溃影响，当终端软件停止运行时，也应能继续录制；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#11、每一批次考试开始之前（考生入座时），可以全屏显示座位号，便于考生进入考室后快速定位考试座位号；</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#12、支持触屏操作，考生可以核对考生信息（如考生姓名、考号等），并检查摄像头状态；软件可以在本地录制的同时生成直播视频流供监考端录制，即使校级平台或监考端停止运行，也不影响本机录制；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考试过程中实时显示日期、考试科目、姓名和考试题目；当考试强制限定了考试时长的情况下，支持显示当前场次考试剩余时间，并在考试剩余时间归零时自动停止作答并提交；当考试未强制限定考试时长的情况下，支持显示当前场次考试时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#14、生物考试时，终端屏幕可以显示显微镜画面，考生可以对显微镜画面进行截图保存，截图后支持对截图图片进行涂鸦和编辑，以便于生物考试评分；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#15、使用纸质试卷时，支持调用摄像头进行试卷拍照，可拍摄多张照片，考试结束后照片自动上传至校级平台，阅卷时可进行查看；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#16、使用电子试卷时，提供电子答题卡供考生作答，考生可以在屏幕上进行编辑作答，交卷后，系统自动保存答题卡；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#17、练习模式：在练习模式下，学生只能观看自己的画面，不能进行其他操作；软件会提示当前的录制状态，方便学生了解老师是否已开启录制。</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C4-03</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路由器</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#1、WAN接口：≥1个10/100/1000Base-T电口；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#2、LAN接口：≥2个10/100/1000Base-T电口；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#3、无线速率：≥3000 Mbps；</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#4、无线协议：支持WIFI 6。</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638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C4-04</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考室监考系统</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#1、支持练习模式、考试模式，老师可选择任意一种模式，系统能自动控制下属所有终端进入对应模式；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采用C/S客户端或B/S架构设计，具有调取、显示考场内所有考生终端视频信息的功能，可同时监看包括但不限于24名、12名、6名考生的≥2个操作画面，可同时显示≥48路学生操作画面；支持开始和结束考试、座位号打印、试卷上传管理、视频上传管理、视频MD5上传管理等常用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#3、能够处理数据中心与终端之间的数据交换；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#4、当到达指定考试时间时，系统将自动强制所有终端退出原有模式并进入考试模式，且不允许自由退出；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#5、考试时支持自动轮巡，支持手动和自动翻页显示考生画面；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#6、可实现视频实时监看，同步查看学生实验操作过程，观看延时≤0.5秒；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#7、支持调节监看窗口的数量，可以选择只看主画面或只看副画面，也可以选择同时监看主画面和副画面；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#8、空间不足提醒：当终端空间不足时，系统能提前自动发出提醒，避免录制失败；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#9、电子目镜状态提醒：在生物考试时，如果终端的电子目镜或电子显微镜的接入状态出现异常，系统能自动发出提醒，以避免事故发生；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#10、连接状态提醒：当终端的网络连接状态丢失或异常时，系统能自动提醒，以便及时排查故障，避免事故发生；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#11、进行系统配置时，支持自动获取终端摄像头的视频画面；当考位使用第三方终端时，支持手动配置每个座位的视频流，系统能直接从摄像头拉取RTSP视频流并进行录制；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智能排题：可以在监考端软件中设置所在教室的座位排列方式（包括行数和列数）；开考前，系统会自动为每个座位分配题目，确保每个座位前后左右的题目不冲突，并支持在监考端进行微调，方便管理员提前安排实验器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#13、设备管控：可以统一管理终端，包括远程关闭、查看软件版本和在线状态，支持远程升级、重启、清理磁盘空间等批量操作；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#14、在开考前，可对故障座位进行快速更换；支持更换终端，选择故障座位并更换至备用座位；更换后，信息将自动同步到备用座位，无需重新设置终端的座位号；</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#15、在开考前，系统将检测终端的剩余硬盘空间；当检测到空间不足时，会弹出提示窗口，提醒监考老师进行磁盘数据清理；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16、服务自检：支持一键检测当前监考端的运行环境，可检测包括但不限于终端软件版本、校级平台版本、监考端CPU、内存、硬盘、时间同步、录制服务、消息服务、存储服务、校级平台的连接状态等，以便及时发现考试监考端的软硬件问题；</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#17、考试状态：支持监考界面显示每个座位考生的考试状态，包括人工核验、提前交卷、考生报错、取消考试、现场评分提交情况等，每个状态可以显示为不同色块，便于监考老师快速定位异常；</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18、人工核验：当考试登录方式设置为刷脸登录时，若终端已配备人脸识别摄像头，软件可调用人脸识别摄像头进行刷脸登录；如果考生在考位上刷脸登录失败，可以将现场考生照片发送到监考端，在监考界面进行人工比对核验；通过核验后，考生可以继续考试；</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#19、突发事故处理：考试时，如出现作弊、设备故障等各类突发情况，可以在监考端上取消某个考生的本场考试；若选择安排补考，可直接在校级平台上进行补考安排；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#20、信息查核：系统可以监看考试视频，并将每个考生的视频与考生信息（包括姓名、准考证号、座位号）同步显示，方便监考老师核对考生信息；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#21、倒计时：在定时定点模式下，系统能显示当前考试的名称和考室信息，并显示考试结束倒计时；在考试准备过程中，系统还可以显示下一场考试的开始倒计时；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#22、考情统计：可以统计并显示当前批次考试的评分提交情况、显微镜截图提交情况以及电子试卷填写提交情况；</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#23、考试控制：当考试方式为定点不定时或随到随考时，监考老师可以根据考室情况控制考试的开启与结束；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#24、延长考试：当考试设置了继续考试时长后，到达预设的考试时间时，系统将提示用户是否延长考试；如果选择延长考试，考生可以继续作答；</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#25、语音播报：支持语音播报功能，可通过连接的音响设备进行语音播报，方便宣读考试注意事项，可根据现场情况选择不同的语音包进行播放，支持在后台上传和管理相关语音包；</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#26、录制异常提醒：系统支持实时反馈考室内所有终端的录制状态，并显示录制异常的原因，便于及时发现问题；</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#27、考试视频可以在监考端上备份存储，并支持对存储的视频进行批量统一管理；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#28、记录实验操作过程并生成视频文件，支持传输至校平台服务端；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#29、录制的视频文件格式满足H.264或以上格式，可以在大部分播放器中直接播放；</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#30、支持全局统计每个批次考生的各类数据上传情况，包括视频数据、显微镜截图数据和实验报告等；对于未上传的数据，支持从终端补传至监考端；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#31、视频上传管理：可设定同时上传至校级服务器的视频数量，并限制上传带宽，以减少资源占用，确保考试顺利进行；</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32、提供练习模式入口和正式考试管理功能，并对不同类型考试显示不同的考试信息；进入练习模式后，可以进行课堂练习，直接进行终端录制，并可自定义录制时间；录制完成后，可以编辑本次练习的名称，支持点播回看录制内容。</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C4-05</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交换机</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#1、端口：≥24个自适应10/100/1000M以太网端口，≥4个千兆光口；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#2、网络性能：交换容量≥300GB，包转发率≥90Mpps；</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#3、以太网功能：支持端口聚合、端口镜像、静态镜像、VLAN；</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#4、支持POE供电，最大输出功率≥370W；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#5、支持 CLI命令行，Web 网管，TELNET支持 iMC 智能管理中心</w:t>
            </w:r>
            <w:r>
              <w:rPr>
                <w:rFonts w:hint="eastAsia" w:ascii="宋体" w:hAnsi="宋体" w:eastAsia="宋体" w:cs="宋体"/>
                <w:i w:val="0"/>
                <w:iCs w:val="0"/>
                <w:color w:val="auto"/>
                <w:sz w:val="21"/>
                <w:szCs w:val="21"/>
                <w:highlight w:val="none"/>
                <w:u w:val="none"/>
                <w:lang w:val="en-US" w:eastAsia="zh-CN" w:bidi="ar"/>
              </w:rPr>
              <w:t xml:space="preserve">、Open View 等通用网管平台；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#6、ARP入侵检测：支持ARP入侵检测功能、IP Source Guard 特性、DHCP Snooping 特性；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#7、安全口令：支持可控 IP 地址的 FTP 登录和口令机制；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#8、支持 IPv6 静态路由、双协议栈，支持 DHCPv6 Client、DHCPv6 Snooping。</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08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C4-06</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机柜</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#1、机柜，高度≥18U,深度≥600MM；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#2、要求配置≥1把风扇，≥1个6位PDU；</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#3、立柱间距：标准19英寸，可放置考场UPS、交换机、路由器等设备；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#4、门：前后六角孔或玻璃门。</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43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C4-07</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电子目镜</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#1、铝合金外壳材质，表面阳极化处理；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传感器≥1/3.2”，像素≥1100万；分辨率支持≥3840x3032@15帧，向下兼容3840*2160@15帧和1920*1080@30帧等常见规格；显微镜调节清晰后，直接接入电子目镜即可拍摄清晰画面，无需二次调焦；拍摄画面与肉眼通过光学目镜观察一致，边缘是黑色，中间的可观测区域是圆形，不存在过度放大；</w:t>
            </w:r>
            <w:r>
              <w:rPr>
                <w:rFonts w:hint="eastAsia" w:ascii="宋体" w:hAnsi="宋体" w:eastAsia="宋体" w:cs="宋体"/>
                <w:b/>
                <w:bCs/>
                <w:i w:val="0"/>
                <w:iCs w:val="0"/>
                <w:color w:val="auto"/>
                <w:sz w:val="21"/>
                <w:szCs w:val="21"/>
                <w:u w:val="none"/>
                <w:lang w:val="en-US" w:eastAsia="zh-CN" w:bidi="ar"/>
              </w:rPr>
              <w:t xml:space="preserve">（提供具有CMA标识的第三方检测机构出具的检测报告原件扫描件或产品白皮书或官网截图）</w:t>
            </w:r>
            <w:r>
              <w:rPr>
                <w:rStyle w:val="961"/>
                <w:rFonts w:hint="eastAsia" w:ascii="宋体" w:hAnsi="宋体" w:eastAsia="宋体" w:cs="宋体"/>
                <w:strike/>
                <w:color w:val="auto"/>
                <w:sz w:val="21"/>
                <w:szCs w:val="21"/>
                <w:lang w:val="en-US" w:eastAsia="zh-CN" w:bidi="ar"/>
              </w:rPr>
              <w:br/>
            </w:r>
            <w:r>
              <w:rPr>
                <w:rStyle w:val="961"/>
                <w:rFonts w:hint="eastAsia" w:ascii="宋体" w:hAnsi="宋体" w:eastAsia="宋体" w:cs="宋体"/>
                <w:color w:val="auto"/>
                <w:sz w:val="21"/>
                <w:szCs w:val="21"/>
                <w:lang w:val="en-US" w:eastAsia="zh-CN" w:bidi="ar"/>
              </w:rPr>
              <w:t xml:space="preserve">#3、传输协议：支持但不限于MJPEG图像格式；</w:t>
            </w:r>
            <w:r>
              <w:rPr>
                <w:rStyle w:val="961"/>
                <w:rFonts w:hint="eastAsia" w:ascii="宋体" w:hAnsi="宋体" w:eastAsia="宋体" w:cs="宋体"/>
                <w:color w:val="auto"/>
                <w:sz w:val="21"/>
                <w:szCs w:val="21"/>
                <w:lang w:val="en-US" w:eastAsia="zh-CN" w:bidi="ar"/>
              </w:rPr>
              <w:br/>
            </w:r>
            <w:r>
              <w:rPr>
                <w:rStyle w:val="961"/>
                <w:rFonts w:hint="eastAsia" w:ascii="宋体" w:hAnsi="宋体" w:eastAsia="宋体" w:cs="宋体"/>
                <w:color w:val="auto"/>
                <w:sz w:val="21"/>
                <w:szCs w:val="21"/>
                <w:lang w:val="en-US" w:eastAsia="zh-CN" w:bidi="ar"/>
              </w:rPr>
              <w:t xml:space="preserve">#4、支持自动曝光、自动白平衡；</w:t>
            </w:r>
            <w:r>
              <w:rPr>
                <w:rStyle w:val="961"/>
                <w:rFonts w:hint="eastAsia" w:ascii="宋体" w:hAnsi="宋体" w:eastAsia="宋体" w:cs="宋体"/>
                <w:color w:val="auto"/>
                <w:sz w:val="21"/>
                <w:szCs w:val="21"/>
                <w:lang w:val="en-US" w:eastAsia="zh-CN" w:bidi="ar"/>
              </w:rPr>
              <w:br/>
            </w:r>
            <w:r>
              <w:rPr>
                <w:rStyle w:val="961"/>
                <w:rFonts w:hint="eastAsia" w:ascii="宋体" w:hAnsi="宋体" w:eastAsia="宋体" w:cs="宋体"/>
                <w:color w:val="auto"/>
                <w:sz w:val="21"/>
                <w:szCs w:val="21"/>
                <w:lang w:val="en-US" w:eastAsia="zh-CN" w:bidi="ar"/>
              </w:rPr>
              <w:t xml:space="preserve">#5、传输接口：通用型USB2.0；</w:t>
            </w:r>
            <w:r>
              <w:rPr>
                <w:rStyle w:val="961"/>
                <w:rFonts w:hint="eastAsia" w:ascii="宋体" w:hAnsi="宋体" w:eastAsia="宋体" w:cs="宋体"/>
                <w:color w:val="auto"/>
                <w:sz w:val="21"/>
                <w:szCs w:val="21"/>
                <w:lang w:val="en-US" w:eastAsia="zh-CN" w:bidi="ar"/>
              </w:rPr>
              <w:br/>
            </w:r>
            <w:r>
              <w:rPr>
                <w:rStyle w:val="961"/>
                <w:rFonts w:hint="eastAsia" w:ascii="宋体" w:hAnsi="宋体" w:eastAsia="宋体" w:cs="宋体"/>
                <w:color w:val="auto"/>
                <w:sz w:val="21"/>
                <w:szCs w:val="21"/>
                <w:lang w:val="en-US" w:eastAsia="zh-CN" w:bidi="ar"/>
              </w:rPr>
              <w:t xml:space="preserve">#6、线缆：采用防屏蔽线缆连接，有效避免输出画面干扰。</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C4-08</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考室网络摄像机</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#1、支持poe供电网络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#2、监控高清摄像机镜头焦距≤2.8mm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#3、≥100M 以太网端口</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08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C4-09</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配置辅材及施工</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#1、辅材：含教室内内配电箱主电源接入（主线≥国标6mm²*3电线）；每个学生座位分别≥1个二三插面板（≥国标1.5mm²*3电线）以及≥1个单口网络面板（≥六类网线）等必要配件；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#2、综合布线：采用开槽、吊顶或线槽的布线方式，如若开槽完成后需对施工面进行复原；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#3、安装调试：包含考场内所有设备的卸货、安装、调试工作。</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C4-10</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文宣装修</w:t>
            </w:r>
            <w:r/>
          </w:p>
        </w:tc>
        <w:tc>
          <w:tcPr>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技术参数同“A5-01 文宣装修”</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bl>
      <w:tblPr>
        <w:tblStyle w:val="72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1181"/>
        <w:gridCol w:w="6537"/>
        <w:gridCol w:w="693"/>
        <w:gridCol w:w="788"/>
      </w:tblGrid>
      <w:tr>
        <w:trPr>
          <w:trHeight w:val="270"/>
        </w:trPr>
        <w:tc>
          <w:tcPr>
            <w:gridSpan w:val="5"/>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D-56座物理智能吊装实验室</w:t>
            </w:r>
            <w:r/>
          </w:p>
        </w:tc>
      </w:tr>
      <w:tr>
        <w:trPr>
          <w:trHeight w:val="270"/>
        </w:trPr>
        <w:tc>
          <w:tcPr>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tcW w:w="5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tcW w:w="32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tcW w:w="34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270"/>
        </w:trPr>
        <w:tc>
          <w:tcPr>
            <w:gridSpan w:val="3"/>
            <w:tcW w:w="42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D1、实验室基础设备配置</w:t>
            </w:r>
            <w:r/>
          </w:p>
        </w:tc>
        <w:tc>
          <w:tcPr>
            <w:tcW w:w="348"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W w:w="393"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270"/>
        </w:trPr>
        <w:tc>
          <w:tcPr>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D1-01</w:t>
            </w:r>
            <w:r/>
          </w:p>
        </w:tc>
        <w:tc>
          <w:tcPr>
            <w:tcW w:w="5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教师演示台</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技术参数同“A1-01 教师演示台”</w:t>
            </w:r>
            <w:r/>
          </w:p>
        </w:tc>
        <w:tc>
          <w:tcPr>
            <w:tcW w:w="34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270"/>
        </w:trPr>
        <w:tc>
          <w:tcPr>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D1-0</w:t>
            </w:r>
            <w:r>
              <w:rPr>
                <w:rFonts w:hint="eastAsia" w:ascii="宋体" w:hAnsi="宋体" w:cs="宋体"/>
                <w:i w:val="0"/>
                <w:iCs w:val="0"/>
                <w:color w:val="auto"/>
                <w:sz w:val="21"/>
                <w:szCs w:val="21"/>
                <w:u w:val="none"/>
                <w:lang w:val="en-US" w:eastAsia="zh-CN" w:bidi="ar"/>
              </w:rPr>
              <w:t xml:space="preserve">2</w:t>
            </w:r>
            <w:r/>
          </w:p>
        </w:tc>
        <w:tc>
          <w:tcPr>
            <w:tcW w:w="5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教师总控电源</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技术参数同“A1-02 教师总控电源”</w:t>
            </w:r>
            <w:r/>
          </w:p>
        </w:tc>
        <w:tc>
          <w:tcPr>
            <w:tcW w:w="34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D1-0</w:t>
            </w:r>
            <w:r>
              <w:rPr>
                <w:rFonts w:hint="eastAsia" w:ascii="宋体" w:hAnsi="宋体" w:cs="宋体"/>
                <w:i w:val="0"/>
                <w:iCs w:val="0"/>
                <w:color w:val="auto"/>
                <w:sz w:val="21"/>
                <w:szCs w:val="21"/>
                <w:u w:val="none"/>
                <w:lang w:val="en-US" w:eastAsia="zh-CN" w:bidi="ar"/>
              </w:rPr>
              <w:t xml:space="preserve">3</w:t>
            </w:r>
            <w:r/>
          </w:p>
        </w:tc>
        <w:tc>
          <w:tcPr>
            <w:tcW w:w="5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教师椅</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技术参数同“A1-10 教师椅”</w:t>
            </w:r>
            <w:r/>
          </w:p>
        </w:tc>
        <w:tc>
          <w:tcPr>
            <w:tcW w:w="34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270"/>
        </w:trPr>
        <w:tc>
          <w:tcPr>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D1-0</w:t>
            </w:r>
            <w:r>
              <w:rPr>
                <w:rFonts w:hint="eastAsia" w:ascii="宋体" w:hAnsi="宋体" w:cs="宋体"/>
                <w:i w:val="0"/>
                <w:iCs w:val="0"/>
                <w:color w:val="auto"/>
                <w:sz w:val="21"/>
                <w:szCs w:val="21"/>
                <w:u w:val="none"/>
                <w:lang w:val="en-US" w:eastAsia="zh-CN" w:bidi="ar"/>
              </w:rPr>
              <w:t xml:space="preserve">4</w:t>
            </w:r>
            <w:r/>
          </w:p>
        </w:tc>
        <w:tc>
          <w:tcPr>
            <w:tcW w:w="5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实验桌</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技术参数同“A1-03 实验桌”</w:t>
            </w:r>
            <w:r/>
          </w:p>
        </w:tc>
        <w:tc>
          <w:tcPr>
            <w:tcW w:w="34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270"/>
        </w:trPr>
        <w:tc>
          <w:tcPr>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D1-0</w:t>
            </w:r>
            <w:r>
              <w:rPr>
                <w:rFonts w:hint="eastAsia" w:ascii="宋体" w:hAnsi="宋体" w:cs="宋体"/>
                <w:i w:val="0"/>
                <w:iCs w:val="0"/>
                <w:color w:val="auto"/>
                <w:sz w:val="21"/>
                <w:szCs w:val="21"/>
                <w:u w:val="none"/>
                <w:lang w:val="en-US" w:eastAsia="zh-CN" w:bidi="ar"/>
              </w:rPr>
              <w:t xml:space="preserve">5</w:t>
            </w:r>
            <w:r/>
          </w:p>
        </w:tc>
        <w:tc>
          <w:tcPr>
            <w:tcW w:w="5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实验凳</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技术参数同“A1-04 实验凳”</w:t>
            </w:r>
            <w:r/>
          </w:p>
        </w:tc>
        <w:tc>
          <w:tcPr>
            <w:tcW w:w="34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条</w:t>
            </w:r>
            <w:r/>
          </w:p>
        </w:tc>
      </w:tr>
      <w:tr>
        <w:trPr>
          <w:trHeight w:val="270"/>
        </w:trPr>
        <w:tc>
          <w:tcPr>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D1-0</w:t>
            </w:r>
            <w:r>
              <w:rPr>
                <w:rFonts w:hint="eastAsia" w:ascii="宋体" w:hAnsi="宋体" w:cs="宋体"/>
                <w:i w:val="0"/>
                <w:iCs w:val="0"/>
                <w:color w:val="auto"/>
                <w:sz w:val="21"/>
                <w:szCs w:val="21"/>
                <w:u w:val="none"/>
                <w:lang w:val="en-US" w:eastAsia="zh-CN" w:bidi="ar"/>
              </w:rPr>
              <w:t xml:space="preserve">6</w:t>
            </w:r>
            <w:r/>
          </w:p>
        </w:tc>
        <w:tc>
          <w:tcPr>
            <w:tcW w:w="5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智能云盒</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技术参数同“A1-12 智能云盒”</w:t>
            </w:r>
            <w:r/>
          </w:p>
        </w:tc>
        <w:tc>
          <w:tcPr>
            <w:tcW w:w="34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D1-0</w:t>
            </w:r>
            <w:r>
              <w:rPr>
                <w:rFonts w:hint="eastAsia" w:ascii="宋体" w:hAnsi="宋体" w:cs="宋体"/>
                <w:i w:val="0"/>
                <w:iCs w:val="0"/>
                <w:color w:val="auto"/>
                <w:sz w:val="21"/>
                <w:szCs w:val="21"/>
                <w:u w:val="none"/>
                <w:lang w:val="en-US" w:eastAsia="zh-CN" w:bidi="ar"/>
              </w:rPr>
              <w:t xml:space="preserve">7</w:t>
            </w:r>
            <w:r/>
          </w:p>
        </w:tc>
        <w:tc>
          <w:tcPr>
            <w:tcW w:w="5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课堂交互系统软件</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技术参数同“A1-13 课堂交互系统软件”</w:t>
            </w:r>
            <w:r/>
          </w:p>
        </w:tc>
        <w:tc>
          <w:tcPr>
            <w:tcW w:w="34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D1-</w:t>
            </w:r>
            <w:r>
              <w:rPr>
                <w:rFonts w:hint="eastAsia" w:ascii="宋体" w:hAnsi="宋体" w:cs="宋体"/>
                <w:i w:val="0"/>
                <w:iCs w:val="0"/>
                <w:color w:val="auto"/>
                <w:sz w:val="21"/>
                <w:szCs w:val="21"/>
                <w:u w:val="none"/>
                <w:lang w:val="en-US" w:eastAsia="zh-CN" w:bidi="ar"/>
              </w:rPr>
              <w:t xml:space="preserve">08</w:t>
            </w:r>
            <w:r/>
          </w:p>
        </w:tc>
        <w:tc>
          <w:tcPr>
            <w:tcW w:w="5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互动音频处理器</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技术参数同“A1-14 互动音频处理器”</w:t>
            </w:r>
            <w:r/>
          </w:p>
        </w:tc>
        <w:tc>
          <w:tcPr>
            <w:tcW w:w="34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D1-</w:t>
            </w:r>
            <w:r>
              <w:rPr>
                <w:rFonts w:hint="eastAsia" w:ascii="宋体" w:hAnsi="宋体" w:cs="宋体"/>
                <w:i w:val="0"/>
                <w:iCs w:val="0"/>
                <w:color w:val="auto"/>
                <w:sz w:val="21"/>
                <w:szCs w:val="21"/>
                <w:u w:val="none"/>
                <w:lang w:val="en-US" w:eastAsia="zh-CN" w:bidi="ar"/>
              </w:rPr>
              <w:t xml:space="preserve">09</w:t>
            </w:r>
            <w:r/>
          </w:p>
        </w:tc>
        <w:tc>
          <w:tcPr>
            <w:tcW w:w="5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全向麦克风</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技术参数同“A1-15 全向麦克风”</w:t>
            </w:r>
            <w:r/>
          </w:p>
        </w:tc>
        <w:tc>
          <w:tcPr>
            <w:tcW w:w="34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D1-1</w:t>
            </w:r>
            <w:r>
              <w:rPr>
                <w:rFonts w:hint="eastAsia" w:ascii="宋体" w:hAnsi="宋体" w:cs="宋体"/>
                <w:i w:val="0"/>
                <w:iCs w:val="0"/>
                <w:color w:val="auto"/>
                <w:sz w:val="21"/>
                <w:szCs w:val="21"/>
                <w:u w:val="none"/>
                <w:lang w:val="en-US" w:eastAsia="zh-CN" w:bidi="ar"/>
              </w:rPr>
              <w:t xml:space="preserve">0</w:t>
            </w:r>
            <w:r/>
          </w:p>
        </w:tc>
        <w:tc>
          <w:tcPr>
            <w:tcW w:w="5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指向麦克风</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技术参数同“A1-16 指向麦克风”</w:t>
            </w:r>
            <w:r/>
          </w:p>
        </w:tc>
        <w:tc>
          <w:tcPr>
            <w:tcW w:w="34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D1-1</w:t>
            </w:r>
            <w:r>
              <w:rPr>
                <w:rFonts w:hint="eastAsia" w:ascii="宋体" w:hAnsi="宋体" w:cs="宋体"/>
                <w:i w:val="0"/>
                <w:iCs w:val="0"/>
                <w:color w:val="auto"/>
                <w:sz w:val="21"/>
                <w:szCs w:val="21"/>
                <w:u w:val="none"/>
                <w:lang w:val="en-US" w:eastAsia="zh-CN" w:bidi="ar"/>
              </w:rPr>
              <w:t xml:space="preserve">1</w:t>
            </w:r>
            <w:r/>
          </w:p>
        </w:tc>
        <w:tc>
          <w:tcPr>
            <w:tcW w:w="5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音箱</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技术参数同“A1-17 音箱”</w:t>
            </w:r>
            <w:r/>
          </w:p>
        </w:tc>
        <w:tc>
          <w:tcPr>
            <w:tcW w:w="34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w:t>
            </w:r>
            <w:r/>
          </w:p>
        </w:tc>
      </w:tr>
      <w:tr>
        <w:trPr>
          <w:trHeight w:val="270"/>
        </w:trPr>
        <w:tc>
          <w:tcPr>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D1-1</w:t>
            </w:r>
            <w:r>
              <w:rPr>
                <w:rFonts w:hint="eastAsia" w:ascii="宋体" w:hAnsi="宋体" w:cs="宋体"/>
                <w:i w:val="0"/>
                <w:iCs w:val="0"/>
                <w:color w:val="auto"/>
                <w:sz w:val="21"/>
                <w:szCs w:val="21"/>
                <w:u w:val="none"/>
                <w:lang w:val="en-US" w:eastAsia="zh-CN" w:bidi="ar"/>
              </w:rPr>
              <w:t xml:space="preserve">2</w:t>
            </w:r>
            <w:r/>
          </w:p>
        </w:tc>
        <w:tc>
          <w:tcPr>
            <w:tcW w:w="5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跟踪摄像机</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技术参数同“A1-18 跟踪摄像机”</w:t>
            </w:r>
            <w:r/>
          </w:p>
        </w:tc>
        <w:tc>
          <w:tcPr>
            <w:tcW w:w="34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W w:w="383"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D1-1</w:t>
            </w:r>
            <w:r>
              <w:rPr>
                <w:rFonts w:hint="eastAsia" w:ascii="宋体" w:hAnsi="宋体" w:cs="宋体"/>
                <w:i w:val="0"/>
                <w:iCs w:val="0"/>
                <w:color w:val="auto"/>
                <w:sz w:val="21"/>
                <w:szCs w:val="21"/>
                <w:u w:val="none"/>
                <w:lang w:val="en-US" w:eastAsia="zh-CN" w:bidi="ar"/>
              </w:rPr>
              <w:t xml:space="preserve">3</w:t>
            </w:r>
            <w:r/>
          </w:p>
        </w:tc>
        <w:tc>
          <w:tcPr>
            <w:tcW w:w="5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云台摄像机</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技术参数同“A1-19 云台摄像机”</w:t>
            </w:r>
            <w:r/>
          </w:p>
        </w:tc>
        <w:tc>
          <w:tcPr>
            <w:tcW w:w="34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W w:w="383"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D1-1</w:t>
            </w:r>
            <w:r>
              <w:rPr>
                <w:rFonts w:hint="eastAsia" w:ascii="宋体" w:hAnsi="宋体" w:cs="宋体"/>
                <w:i w:val="0"/>
                <w:iCs w:val="0"/>
                <w:color w:val="auto"/>
                <w:sz w:val="21"/>
                <w:szCs w:val="21"/>
                <w:u w:val="none"/>
                <w:lang w:val="en-US" w:eastAsia="zh-CN" w:bidi="ar"/>
              </w:rPr>
              <w:t xml:space="preserve">4</w:t>
            </w:r>
            <w:r/>
          </w:p>
        </w:tc>
        <w:tc>
          <w:tcPr>
            <w:tcW w:w="5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互动电视机</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技术参数同“A1-20 互动电视机”</w:t>
            </w:r>
            <w:r/>
          </w:p>
        </w:tc>
        <w:tc>
          <w:tcPr>
            <w:tcW w:w="34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gridSpan w:val="3"/>
            <w:tcW w:w="42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D2、智能控制系统</w:t>
            </w:r>
            <w:r/>
          </w:p>
        </w:tc>
        <w:tc>
          <w:tcPr>
            <w:tcW w:w="348"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W w:w="393"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270"/>
        </w:trPr>
        <w:tc>
          <w:tcPr>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D2-01</w:t>
            </w:r>
            <w:r/>
          </w:p>
        </w:tc>
        <w:tc>
          <w:tcPr>
            <w:tcW w:w="5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智能系统控制箱</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技术参数同“A2-01 智能系统控制箱”</w:t>
            </w:r>
            <w:r/>
          </w:p>
        </w:tc>
        <w:tc>
          <w:tcPr>
            <w:tcW w:w="34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D2-02</w:t>
            </w:r>
            <w:r/>
          </w:p>
        </w:tc>
        <w:tc>
          <w:tcPr>
            <w:tcW w:w="5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智能控制屏</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技术参数同“A2-02 智能控制屏”</w:t>
            </w:r>
            <w:r/>
          </w:p>
        </w:tc>
        <w:tc>
          <w:tcPr>
            <w:tcW w:w="34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D2-03</w:t>
            </w:r>
            <w:r/>
          </w:p>
        </w:tc>
        <w:tc>
          <w:tcPr>
            <w:tcW w:w="5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吊装控制系统</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技术参数同“A2-03 吊装控制系统”</w:t>
            </w:r>
            <w:r/>
          </w:p>
        </w:tc>
        <w:tc>
          <w:tcPr>
            <w:tcW w:w="34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70"/>
        </w:trPr>
        <w:tc>
          <w:tcPr>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D2-04</w:t>
            </w:r>
            <w:r/>
          </w:p>
        </w:tc>
        <w:tc>
          <w:tcPr>
            <w:tcW w:w="5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温湿度探测系统</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技术参数同“A2-04 温湿度探测系统”</w:t>
            </w:r>
            <w:r/>
          </w:p>
        </w:tc>
        <w:tc>
          <w:tcPr>
            <w:tcW w:w="34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70"/>
        </w:trPr>
        <w:tc>
          <w:tcPr>
            <w:gridSpan w:val="3"/>
            <w:tcW w:w="42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D3、顶部集成供给系统</w:t>
            </w:r>
            <w:r/>
          </w:p>
        </w:tc>
        <w:tc>
          <w:tcPr>
            <w:tcW w:w="348"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W w:w="393"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270"/>
        </w:trPr>
        <w:tc>
          <w:tcPr>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D3-01</w:t>
            </w:r>
            <w:r/>
          </w:p>
        </w:tc>
        <w:tc>
          <w:tcPr>
            <w:tcW w:w="5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吊装主体框架</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技术参数同“A3-01 吊装主体框架”</w:t>
            </w:r>
            <w:r/>
          </w:p>
        </w:tc>
        <w:tc>
          <w:tcPr>
            <w:tcW w:w="34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D3-02</w:t>
            </w:r>
            <w:r/>
          </w:p>
        </w:tc>
        <w:tc>
          <w:tcPr>
            <w:tcW w:w="5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主体保护罩</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技术参数同“A3-02 主体保护罩”</w:t>
            </w:r>
            <w:r/>
          </w:p>
        </w:tc>
        <w:tc>
          <w:tcPr>
            <w:tcW w:w="34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D3-03</w:t>
            </w:r>
            <w:r/>
          </w:p>
        </w:tc>
        <w:tc>
          <w:tcPr>
            <w:tcW w:w="5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吊装端头</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技术参数同“A3-03 吊装端头”</w:t>
            </w:r>
            <w:r/>
          </w:p>
        </w:tc>
        <w:tc>
          <w:tcPr>
            <w:tcW w:w="34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D3-04</w:t>
            </w:r>
            <w:r/>
          </w:p>
        </w:tc>
        <w:tc>
          <w:tcPr>
            <w:tcW w:w="5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智能摇臂升降系统</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技术参数同“A3-04 智能摇臂升降系统”</w:t>
            </w:r>
            <w:r/>
          </w:p>
        </w:tc>
        <w:tc>
          <w:tcPr>
            <w:tcW w:w="34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D3-05</w:t>
            </w:r>
            <w:r/>
          </w:p>
        </w:tc>
        <w:tc>
          <w:tcPr>
            <w:tcW w:w="5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集成功能模块</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技术参数同“A3-05 集成功能模块”</w:t>
            </w:r>
            <w:r/>
          </w:p>
        </w:tc>
        <w:tc>
          <w:tcPr>
            <w:tcW w:w="34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383"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D3-06</w:t>
            </w:r>
            <w:r/>
          </w:p>
        </w:tc>
        <w:tc>
          <w:tcPr>
            <w:tcW w:w="593"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电源供应模块</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技术参数同“A3-06 电源供应模块”</w:t>
            </w:r>
            <w:r/>
          </w:p>
        </w:tc>
        <w:tc>
          <w:tcPr>
            <w:tcW w:w="34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70"/>
        </w:trPr>
        <w:tc>
          <w:tcPr>
            <w:tcW w:w="383"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W w:w="593"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技术参数同“A3-06 电源供应模块”</w:t>
            </w:r>
            <w:r/>
          </w:p>
        </w:tc>
        <w:tc>
          <w:tcPr>
            <w:tcW w:w="34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70"/>
        </w:trPr>
        <w:tc>
          <w:tcPr>
            <w:tcW w:w="383"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W w:w="593"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技术参数同“A3-06 电源供应模块”</w:t>
            </w:r>
            <w:r/>
          </w:p>
        </w:tc>
        <w:tc>
          <w:tcPr>
            <w:tcW w:w="34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70"/>
        </w:trPr>
        <w:tc>
          <w:tcPr>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D3-07</w:t>
            </w:r>
            <w:r/>
          </w:p>
        </w:tc>
        <w:tc>
          <w:tcPr>
            <w:tcW w:w="5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保险模块</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技术参数同“A3-07 保险模块”</w:t>
            </w:r>
            <w:r/>
          </w:p>
        </w:tc>
        <w:tc>
          <w:tcPr>
            <w:tcW w:w="34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70"/>
        </w:trPr>
        <w:tc>
          <w:tcPr>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D3-08</w:t>
            </w:r>
            <w:r/>
          </w:p>
        </w:tc>
        <w:tc>
          <w:tcPr>
            <w:tcW w:w="5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急停装置</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技术参数同“A3-08 急停装置”</w:t>
            </w:r>
            <w:r/>
          </w:p>
        </w:tc>
        <w:tc>
          <w:tcPr>
            <w:tcW w:w="34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70"/>
        </w:trPr>
        <w:tc>
          <w:tcPr>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D3-09</w:t>
            </w:r>
            <w:r/>
          </w:p>
        </w:tc>
        <w:tc>
          <w:tcPr>
            <w:tcW w:w="5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供电线路</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技术参数同“A3-09 供电线路”</w:t>
            </w:r>
            <w:r/>
          </w:p>
        </w:tc>
        <w:tc>
          <w:tcPr>
            <w:tcW w:w="34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70"/>
        </w:trPr>
        <w:tc>
          <w:tcPr>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D3-10</w:t>
            </w:r>
            <w:r/>
          </w:p>
        </w:tc>
        <w:tc>
          <w:tcPr>
            <w:tcW w:w="5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照明系统</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技术参数同“A3-10 照明系统”</w:t>
            </w:r>
            <w:r/>
          </w:p>
        </w:tc>
        <w:tc>
          <w:tcPr>
            <w:tcW w:w="34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D3-11</w:t>
            </w:r>
            <w:r/>
          </w:p>
        </w:tc>
        <w:tc>
          <w:tcPr>
            <w:tcW w:w="5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举手系统</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技术参数同“A3-11 举手系统”</w:t>
            </w:r>
            <w:r/>
          </w:p>
        </w:tc>
        <w:tc>
          <w:tcPr>
            <w:tcW w:w="34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D3-12</w:t>
            </w:r>
            <w:r/>
          </w:p>
        </w:tc>
        <w:tc>
          <w:tcPr>
            <w:tcW w:w="5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学生端分组控制系统</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技术参数同“A3-16 学生端分组控制系统”</w:t>
            </w:r>
            <w:r/>
          </w:p>
        </w:tc>
        <w:tc>
          <w:tcPr>
            <w:tcW w:w="34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70"/>
        </w:trPr>
        <w:tc>
          <w:tcPr>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D3-13</w:t>
            </w:r>
            <w:r/>
          </w:p>
        </w:tc>
        <w:tc>
          <w:tcPr>
            <w:tcW w:w="5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系统安装辅件</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技术参数同“A3-17 系统安装辅件”</w:t>
            </w:r>
            <w:r/>
          </w:p>
        </w:tc>
        <w:tc>
          <w:tcPr>
            <w:tcW w:w="34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70"/>
        </w:trPr>
        <w:tc>
          <w:tcPr>
            <w:gridSpan w:val="3"/>
            <w:tcW w:w="42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D4、文宣装修</w:t>
            </w:r>
            <w:r/>
          </w:p>
        </w:tc>
        <w:tc>
          <w:tcPr>
            <w:tcW w:w="348"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W w:w="393"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270"/>
        </w:trPr>
        <w:tc>
          <w:tcPr>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D4-01</w:t>
            </w:r>
            <w:r/>
          </w:p>
        </w:tc>
        <w:tc>
          <w:tcPr>
            <w:tcW w:w="5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文宣装修</w:t>
            </w:r>
            <w:r/>
          </w:p>
        </w:tc>
        <w:tc>
          <w:tcPr>
            <w:tcW w:w="327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技术参数同“A5-01 文宣装修”</w:t>
            </w:r>
            <w:r/>
          </w:p>
        </w:tc>
        <w:tc>
          <w:tcPr>
            <w:tcW w:w="34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bl>
      <w:tblPr>
        <w:tblStyle w:val="72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1185"/>
        <w:gridCol w:w="6509"/>
        <w:gridCol w:w="697"/>
        <w:gridCol w:w="800"/>
      </w:tblGrid>
      <w:tr>
        <w:trPr>
          <w:trHeight w:val="420"/>
        </w:trPr>
        <w:tc>
          <w:tcPr>
            <w:gridSpan w:val="5"/>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E、物理数字化探究</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tcW w:w="32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270"/>
        </w:trPr>
        <w:tc>
          <w:tcPr>
            <w:gridSpan w:val="3"/>
            <w:tcW w:w="424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E1、教师端演示性传感器和配套实验器材</w:t>
            </w:r>
            <w:r/>
          </w:p>
        </w:tc>
        <w:tc>
          <w:tcPr>
            <w:tcW w:w="350"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W w:w="399"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E1-01</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便携式实验终端</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技术参数同“B1-01 便携式实验终端”</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E1-02</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数据采集器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技术参数同“B1-02 数据采集器”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E1-03</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无线蓝牙模块</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技术参数同“B1-03 无线蓝牙模块”</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95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E1-04</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力传感器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#1、量程：-50N~50N，分辨率：0.01N，用于测拉力（显示正值）和压力（显示负值）。</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#2、自带硬件调零按钮，短按自动校零，长按可自动切换力的正负值，节约时间，无需软件内设置公式。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#3、传感器支持Type-C直连有线通讯、采集器多路有线通讯、无线通讯、独立数据显示</w:t>
            </w:r>
            <w:r>
              <w:rPr>
                <w:rFonts w:hint="eastAsia" w:ascii="宋体" w:hAnsi="宋体" w:cs="宋体"/>
                <w:i w:val="0"/>
                <w:iCs w:val="0"/>
                <w:strike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E1-05</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温度传感器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技术参数同“B2-03 温度传感器”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89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E1-06</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光电门传感器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#1、量程：0~∞s，分辨率：0.001ms。用于测量物体通过光电门的挡光时间以及速度、加速度、动量、动能等。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#2、传感器支持Type-C直连有线通讯、采集器多路有线通讯、无线通讯、独立数据显示</w:t>
            </w:r>
            <w:r>
              <w:rPr>
                <w:rFonts w:hint="eastAsia" w:ascii="宋体" w:hAnsi="宋体" w:cs="宋体"/>
                <w:i w:val="0"/>
                <w:iCs w:val="0"/>
                <w:strike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189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E1-07</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相对压强传感器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#1、量程：±20kPa，分辨率：0.01kPa。用于测量大气环境下被测量空间内的气体的压强差。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#2、传感器支持Type-C直连有线通讯、采集器多路有线通讯、无线通讯、独立数据显示</w:t>
            </w:r>
            <w:r>
              <w:rPr>
                <w:rFonts w:hint="eastAsia" w:ascii="宋体" w:hAnsi="宋体" w:cs="宋体"/>
                <w:i w:val="0"/>
                <w:iCs w:val="0"/>
                <w:strike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270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E1-08</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分体位移传感器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 0m～2m，分辨率：0.5mm。用于小车运动时速度的测量、用于测量物体间的位移或距离。</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由发射端和接收端两个部分组成，发射器带有拨动开关，内置锂电池，可充电。实验时，发射端与实验器材组合，接收端与数据采集器或PC连接，通过发射端发射超声波，接收端接收超声波信号，计算转化成位移。</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#3、传感器支持Type-C直连有线通讯、采集器多路有线通讯、无线通讯、独立数据显示</w:t>
            </w:r>
            <w:r>
              <w:rPr>
                <w:rFonts w:hint="eastAsia" w:ascii="宋体" w:hAnsi="宋体" w:cs="宋体"/>
                <w:i w:val="0"/>
                <w:iCs w:val="0"/>
                <w:strike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43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E1-09</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多量程电流传感器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#1、量程1：-2A～+2A、分辨率：0.01A；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#2、量程2：-200mA～+200mA、分辨率：0.1mA；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#3、量程3：-20mA ～+20mA、分辨率：0.01mA ；用于测量电路中的电流。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#4、自带硬件切换按钮，短按可在3种量程间循环切换。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#5、传感器支持Type-C直连有线通讯、采集器多路有线通讯、无线通讯、独立数据显示</w:t>
            </w:r>
            <w:r>
              <w:rPr>
                <w:rFonts w:hint="eastAsia" w:ascii="宋体" w:hAnsi="宋体" w:cs="宋体"/>
                <w:i w:val="0"/>
                <w:iCs w:val="0"/>
                <w:strike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43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E1-10</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多量程电压传感器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#1、量程1：-20V～+20V、分辨率：0.01V；</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#2、量程2：-2V～+2V、分辨率：0.001V；</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#3、量程3：-0.2V～+0.2V、分辨率：0.0001V；用于测量电路、电器两端的电压。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#4、自带硬件切换按钮，短按可在3种量程间循环切换。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#5、传感器支持Type-C直连有线通讯、采集器多路有线通讯、无线通讯、独立数据显示</w:t>
            </w:r>
            <w:r>
              <w:rPr>
                <w:rFonts w:hint="eastAsia" w:ascii="宋体" w:hAnsi="宋体" w:cs="宋体"/>
                <w:i w:val="0"/>
                <w:iCs w:val="0"/>
                <w:strike w:val="0"/>
                <w:color w:val="auto"/>
                <w:sz w:val="21"/>
                <w:szCs w:val="21"/>
                <w:u w:val="none"/>
                <w:lang w:val="en-US" w:eastAsia="zh-CN" w:bidi="ar"/>
              </w:rPr>
              <w:t xml:space="preserve">等</w:t>
            </w:r>
            <w:r>
              <w:rPr>
                <w:rFonts w:hint="eastAsia" w:ascii="宋体" w:hAnsi="宋体" w:eastAsia="宋体" w:cs="宋体"/>
                <w:i w:val="0"/>
                <w:iCs w:val="0"/>
                <w:strike w:val="0"/>
                <w:color w:val="auto"/>
                <w:sz w:val="21"/>
                <w:szCs w:val="21"/>
                <w:u w:val="none"/>
                <w:lang w:val="en-US" w:eastAsia="zh-CN" w:bidi="ar"/>
              </w:rPr>
              <w:t xml:space="preserve">工</w:t>
            </w:r>
            <w:r>
              <w:rPr>
                <w:rFonts w:hint="eastAsia" w:ascii="宋体" w:hAnsi="宋体" w:eastAsia="宋体" w:cs="宋体"/>
                <w:i w:val="0"/>
                <w:iCs w:val="0"/>
                <w:color w:val="auto"/>
                <w:sz w:val="21"/>
                <w:szCs w:val="21"/>
                <w:u w:val="none"/>
                <w:lang w:val="en-US" w:eastAsia="zh-CN" w:bidi="ar"/>
              </w:rPr>
              <w:t xml:space="preserve">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74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E1-11</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电压电流一体传感器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#1、电压量程：±20V，分辨率：0.01V；电流量程：±2A，分辨率：0.001A；一个传感器可同时测量≥两种数据。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#2、用于测量电路、电器两端的电压和电流；手持式技术，便于直接观察数据；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#3、无需实体功能按键或触摸笔，需融合传感器、内置</w:t>
            </w:r>
            <w:r>
              <w:rPr>
                <w:rFonts w:hint="eastAsia" w:ascii="宋体" w:hAnsi="宋体" w:cs="宋体"/>
                <w:i w:val="0"/>
                <w:iCs w:val="0"/>
                <w:strike w:val="0"/>
                <w:color w:val="auto"/>
                <w:sz w:val="21"/>
                <w:szCs w:val="21"/>
                <w:u w:val="none"/>
                <w:lang w:val="en-US" w:eastAsia="zh-CN" w:bidi="ar"/>
              </w:rPr>
              <w:t xml:space="preserve">可视</w:t>
            </w:r>
            <w:r>
              <w:rPr>
                <w:rFonts w:hint="eastAsia" w:ascii="宋体" w:hAnsi="宋体" w:eastAsia="宋体" w:cs="宋体"/>
                <w:i w:val="0"/>
                <w:iCs w:val="0"/>
                <w:color w:val="auto"/>
                <w:sz w:val="21"/>
                <w:szCs w:val="21"/>
                <w:u w:val="none"/>
                <w:lang w:val="en-US" w:eastAsia="zh-CN" w:bidi="ar"/>
              </w:rPr>
              <w:t xml:space="preserve">电容触摸屏、内置大容量可充电锂电池/蜂鸣器/振动马达为一体化设计，不接受分体拼接模式；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#4、配置</w:t>
            </w:r>
            <w:r>
              <w:rPr>
                <w:rFonts w:hint="eastAsia" w:ascii="宋体" w:hAnsi="宋体" w:cs="宋体"/>
                <w:i w:val="0"/>
                <w:iCs w:val="0"/>
                <w:strike w:val="0"/>
                <w:color w:val="auto"/>
                <w:sz w:val="21"/>
                <w:szCs w:val="21"/>
                <w:u w:val="none"/>
                <w:lang w:val="en-US" w:eastAsia="zh-CN" w:bidi="ar"/>
              </w:rPr>
              <w:t xml:space="preserve">可视</w:t>
            </w:r>
            <w:r>
              <w:rPr>
                <w:rFonts w:hint="eastAsia" w:ascii="宋体" w:hAnsi="宋体" w:eastAsia="宋体" w:cs="宋体"/>
                <w:i w:val="0"/>
                <w:iCs w:val="0"/>
                <w:color w:val="auto"/>
                <w:sz w:val="21"/>
                <w:szCs w:val="21"/>
                <w:u w:val="none"/>
                <w:lang w:val="en-US" w:eastAsia="zh-CN" w:bidi="ar"/>
              </w:rPr>
              <w:t xml:space="preserve">高清电容触摸屏与振动警告功能单元，支持多点触摸方式；传感器自带滚轮调节键，通过滚轮可调节电流/电压采集频率；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屏幕上支持曲线、仪表、表格、数字等多种显示方式，一键顺滑切换；具备曲线对比功能，可保留每次采样数据，可同时显示多组数据曲线；屏幕上可选自动、手动采样模式，自由调节采样频率、区间，可根据实验教学要求采样取值；屏幕上可选usb有线连接方式和蓝牙无线连接方式，内置蓝牙通讯模块，可根据实验教学需要切换工作模式；屏幕上可自定义逻辑指令，并执行一个或多个蜂鸣、振动、延时、记录、停止采集等指令；屏幕上可直接新建实验、保存实验、删除实验等；可直接显示电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#6、支持快速开关机功能；支持智能节能</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自动关机。</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459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E1-12</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微电流传感器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#1、量程：±50μA，分辨率：0.02μA。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#2、用于测量电路、电器两端的微安数量级的电流；手持式技术，便于直接观察数据；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#3、无需实体功能按键或触摸笔，需融合传感器、内置</w:t>
            </w:r>
            <w:r>
              <w:rPr>
                <w:rFonts w:hint="eastAsia" w:ascii="宋体" w:hAnsi="宋体" w:cs="宋体"/>
                <w:i w:val="0"/>
                <w:iCs w:val="0"/>
                <w:strike w:val="0"/>
                <w:color w:val="auto"/>
                <w:sz w:val="21"/>
                <w:szCs w:val="21"/>
                <w:u w:val="none"/>
                <w:lang w:val="en-US" w:eastAsia="zh-CN" w:bidi="ar"/>
              </w:rPr>
              <w:t xml:space="preserve">可视</w:t>
            </w:r>
            <w:r>
              <w:rPr>
                <w:rFonts w:hint="eastAsia" w:ascii="宋体" w:hAnsi="宋体" w:eastAsia="宋体" w:cs="宋体"/>
                <w:i w:val="0"/>
                <w:iCs w:val="0"/>
                <w:color w:val="auto"/>
                <w:sz w:val="21"/>
                <w:szCs w:val="21"/>
                <w:u w:val="none"/>
                <w:lang w:val="en-US" w:eastAsia="zh-CN" w:bidi="ar"/>
              </w:rPr>
              <w:t xml:space="preserve">电容触摸屏、内置大容量可充电锂电池/蜂鸣器/振动马达为一体化设计，不接受分体拼接模式；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#4、配置</w:t>
            </w:r>
            <w:r>
              <w:rPr>
                <w:rFonts w:hint="eastAsia" w:ascii="宋体" w:hAnsi="宋体" w:cs="宋体"/>
                <w:i w:val="0"/>
                <w:iCs w:val="0"/>
                <w:strike w:val="0"/>
                <w:color w:val="auto"/>
                <w:sz w:val="21"/>
                <w:szCs w:val="21"/>
                <w:u w:val="none"/>
                <w:lang w:val="en-US" w:eastAsia="zh-CN" w:bidi="ar"/>
              </w:rPr>
              <w:t xml:space="preserve">可视</w:t>
            </w:r>
            <w:r>
              <w:rPr>
                <w:rFonts w:hint="eastAsia" w:ascii="宋体" w:hAnsi="宋体" w:eastAsia="宋体" w:cs="宋体"/>
                <w:i w:val="0"/>
                <w:iCs w:val="0"/>
                <w:color w:val="auto"/>
                <w:sz w:val="21"/>
                <w:szCs w:val="21"/>
                <w:u w:val="none"/>
                <w:lang w:val="en-US" w:eastAsia="zh-CN" w:bidi="ar"/>
              </w:rPr>
              <w:t xml:space="preserve">高清电容触摸屏与振动警告功能单元，支持多点触摸方式；传感器自带滚轮调节键，通过滚轮可调节微电流采集频率；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屏幕上支持曲线、仪表、表格、数字等多种显示方式，一键顺滑切换；具备曲线对比功能，可保留每次采样数据，可同时显示多组数据曲线；屏幕上可选择自动、手动采样模式，自由调节采样频率、区间，可根据实验教学要求采样取值；屏幕上可选择usb有线连接方式和蓝牙无线连接方式，内置蓝牙通讯模块，可根据实验教学需要切换工作模式；屏幕上可自定义逻辑指令，并执行一个或多个蜂鸣、振动、延时、记录、停止采集等指令；屏幕上可直接新建实验、保存实验、删除实验等；可直接显示电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#6、支持快速开关机功能，；支持智能节能</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自动关机。</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459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E1-13</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声强传感器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#1、量程：30～120dB，分辨率：0.1dB。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#2、用于探测声音的强度(dB)；手持式技术，便于直接观察数据；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#3、无需实体功能按键或触摸笔，需融合传感器、内置</w:t>
            </w:r>
            <w:r>
              <w:rPr>
                <w:rFonts w:hint="eastAsia" w:ascii="宋体" w:hAnsi="宋体" w:cs="宋体"/>
                <w:i w:val="0"/>
                <w:iCs w:val="0"/>
                <w:strike w:val="0"/>
                <w:color w:val="auto"/>
                <w:sz w:val="21"/>
                <w:szCs w:val="21"/>
                <w:u w:val="none"/>
                <w:lang w:val="en-US" w:eastAsia="zh-CN" w:bidi="ar"/>
              </w:rPr>
              <w:t xml:space="preserve">可视</w:t>
            </w:r>
            <w:r>
              <w:rPr>
                <w:rFonts w:hint="eastAsia" w:ascii="宋体" w:hAnsi="宋体" w:eastAsia="宋体" w:cs="宋体"/>
                <w:i w:val="0"/>
                <w:iCs w:val="0"/>
                <w:color w:val="auto"/>
                <w:sz w:val="21"/>
                <w:szCs w:val="21"/>
                <w:u w:val="none"/>
                <w:lang w:val="en-US" w:eastAsia="zh-CN" w:bidi="ar"/>
              </w:rPr>
              <w:t xml:space="preserve">电容触摸屏、内置大容量可充电锂电池/蜂鸣器/振动马达为一体化设计，不接受分体拼接模式；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#4、配置</w:t>
            </w:r>
            <w:r>
              <w:rPr>
                <w:rFonts w:hint="eastAsia" w:ascii="宋体" w:hAnsi="宋体" w:cs="宋体"/>
                <w:i w:val="0"/>
                <w:iCs w:val="0"/>
                <w:strike w:val="0"/>
                <w:color w:val="auto"/>
                <w:sz w:val="21"/>
                <w:szCs w:val="21"/>
                <w:u w:val="none"/>
                <w:lang w:val="en-US" w:eastAsia="zh-CN" w:bidi="ar"/>
              </w:rPr>
              <w:t xml:space="preserve">可视</w:t>
            </w:r>
            <w:r>
              <w:rPr>
                <w:rFonts w:hint="eastAsia" w:ascii="宋体" w:hAnsi="宋体" w:eastAsia="宋体" w:cs="宋体"/>
                <w:i w:val="0"/>
                <w:iCs w:val="0"/>
                <w:color w:val="auto"/>
                <w:sz w:val="21"/>
                <w:szCs w:val="21"/>
                <w:u w:val="none"/>
                <w:lang w:val="en-US" w:eastAsia="zh-CN" w:bidi="ar"/>
              </w:rPr>
              <w:t xml:space="preserve">高清电容触摸屏与振动警告功能单元，支持多点触摸方式；传感器自带滚轮调节键，通过滚轮可调节声强采集频率；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屏幕上支持曲线、仪表、表格、数字等多种显示方式，一键顺滑切换；具备曲线对比功能，可保留每次采样数据，可同时显示多组数据曲线；屏幕上可选自动、手动采样模式，自由调节采样频率、区间，可根据实验教学要求采样取值；屏幕上可选usb有线连接方式和蓝牙无线连接方式，内置蓝牙通讯模块，可根据实验教学需要切换工作模式；屏幕上可自定义逻辑指令，并执行一个或多个蜂鸣、振动、延时、记录、停止采集等指令；屏幕上可直接新建实验、保存实验、删除实验等；可直接显示电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#6、支持快速开关机功能；支持智能节能，自动关机。</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745"/>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E1-14</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声波传感器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#1、量程：20Hz～20,000Hz，分辨率：1Hz。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#2、用于探测声音的波形；手持式技术，便于直接观察数据；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#3、无需实体功能按键或触摸笔，需融合传感器、内置</w:t>
            </w:r>
            <w:r>
              <w:rPr>
                <w:rFonts w:hint="eastAsia" w:ascii="宋体" w:hAnsi="宋体" w:cs="宋体"/>
                <w:i w:val="0"/>
                <w:iCs w:val="0"/>
                <w:strike w:val="0"/>
                <w:color w:val="auto"/>
                <w:sz w:val="21"/>
                <w:szCs w:val="21"/>
                <w:u w:val="none"/>
                <w:lang w:val="en-US" w:eastAsia="zh-CN" w:bidi="ar"/>
              </w:rPr>
              <w:t xml:space="preserve">可视</w:t>
            </w:r>
            <w:r>
              <w:rPr>
                <w:rFonts w:hint="eastAsia" w:ascii="宋体" w:hAnsi="宋体" w:eastAsia="宋体" w:cs="宋体"/>
                <w:i w:val="0"/>
                <w:iCs w:val="0"/>
                <w:color w:val="auto"/>
                <w:sz w:val="21"/>
                <w:szCs w:val="21"/>
                <w:u w:val="none"/>
                <w:lang w:val="en-US" w:eastAsia="zh-CN" w:bidi="ar"/>
              </w:rPr>
              <w:t xml:space="preserve">电容触摸屏、内置大容量可充电锂电池/蜂鸣器/振动马达为一体化设计，不接受分体拼接模式；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#4、配置</w:t>
            </w:r>
            <w:r>
              <w:rPr>
                <w:rFonts w:hint="eastAsia" w:ascii="宋体" w:hAnsi="宋体" w:cs="宋体"/>
                <w:i w:val="0"/>
                <w:iCs w:val="0"/>
                <w:strike w:val="0"/>
                <w:color w:val="auto"/>
                <w:sz w:val="21"/>
                <w:szCs w:val="21"/>
                <w:u w:val="none"/>
                <w:lang w:val="en-US" w:eastAsia="zh-CN" w:bidi="ar"/>
              </w:rPr>
              <w:t xml:space="preserve">可视</w:t>
            </w:r>
            <w:r>
              <w:rPr>
                <w:rFonts w:hint="eastAsia" w:ascii="宋体" w:hAnsi="宋体" w:eastAsia="宋体" w:cs="宋体"/>
                <w:i w:val="0"/>
                <w:iCs w:val="0"/>
                <w:color w:val="auto"/>
                <w:sz w:val="21"/>
                <w:szCs w:val="21"/>
                <w:u w:val="none"/>
                <w:lang w:val="en-US" w:eastAsia="zh-CN" w:bidi="ar"/>
              </w:rPr>
              <w:t xml:space="preserve">高清电容触摸屏与振动警告功能单元，支持多点触摸方式；传感器自带滚轮调节键，通过滚轮可调节音频采集频率；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屏幕上支持曲线、仪表、表格、数字等多种显示方式，一键顺滑切换；具备曲线对比功能，可保留每次采样数据，可同时显示多组数据曲线；屏幕上可选自动、手动采样模式，自由调节采样频率、区间，可根据实验教学要求采样取值；屏幕上可选usb有线连接方式和蓝牙无线连接方式，内置蓝牙通讯模块，可根据实验教学需要切换工作模式；屏幕上可自定义逻辑指令，并执行一个或多个蜂鸣、振动、延时、记录、停止采集等指令；屏幕上可直接新建实验、保存实验、删除实验等；可直接显示电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#6、支持快速开关机功能；支持智能节能，自动关机。</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54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E1-15</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磁场传感器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#1、量程：-100mT～+100mT，分辨率：0.05mT。</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#2、用于测量磁场的磁感应强度；手持式技术，便于直接观察数据；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#3、无需实体功能按键或触摸笔，需融合传感器、内置</w:t>
            </w:r>
            <w:r>
              <w:rPr>
                <w:rFonts w:hint="eastAsia" w:ascii="宋体" w:hAnsi="宋体" w:cs="宋体"/>
                <w:i w:val="0"/>
                <w:iCs w:val="0"/>
                <w:strike w:val="0"/>
                <w:color w:val="auto"/>
                <w:sz w:val="21"/>
                <w:szCs w:val="21"/>
                <w:u w:val="none"/>
                <w:lang w:val="en-US" w:eastAsia="zh-CN" w:bidi="ar"/>
              </w:rPr>
              <w:t xml:space="preserve">可视</w:t>
            </w:r>
            <w:r>
              <w:rPr>
                <w:rFonts w:hint="eastAsia" w:ascii="宋体" w:hAnsi="宋体" w:eastAsia="宋体" w:cs="宋体"/>
                <w:i w:val="0"/>
                <w:iCs w:val="0"/>
                <w:color w:val="auto"/>
                <w:sz w:val="21"/>
                <w:szCs w:val="21"/>
                <w:u w:val="none"/>
                <w:lang w:val="en-US" w:eastAsia="zh-CN" w:bidi="ar"/>
              </w:rPr>
              <w:t xml:space="preserve">电容触摸屏、内置大容量可充电锂电池/蜂鸣器/振动马达为一体化设计，不接受分体拼接模式；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#4、配置</w:t>
            </w:r>
            <w:r>
              <w:rPr>
                <w:rFonts w:hint="eastAsia" w:ascii="宋体" w:hAnsi="宋体" w:cs="宋体"/>
                <w:i w:val="0"/>
                <w:iCs w:val="0"/>
                <w:strike w:val="0"/>
                <w:color w:val="auto"/>
                <w:sz w:val="21"/>
                <w:szCs w:val="21"/>
                <w:u w:val="none"/>
                <w:lang w:val="en-US" w:eastAsia="zh-CN" w:bidi="ar"/>
              </w:rPr>
              <w:t xml:space="preserve">可视</w:t>
            </w:r>
            <w:r>
              <w:rPr>
                <w:rFonts w:hint="eastAsia" w:ascii="宋体" w:hAnsi="宋体" w:eastAsia="宋体" w:cs="宋体"/>
                <w:i w:val="0"/>
                <w:iCs w:val="0"/>
                <w:color w:val="auto"/>
                <w:sz w:val="21"/>
                <w:szCs w:val="21"/>
                <w:u w:val="none"/>
                <w:lang w:val="en-US" w:eastAsia="zh-CN" w:bidi="ar"/>
              </w:rPr>
              <w:t xml:space="preserve">高清电容触摸屏与振动警告功能单元，支持多点触摸方式；传感器自带滚轮调节键，通过滚轮可调节磁场强度采集频率；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屏幕上支持曲线、仪表、表格、数字等多种显示方式，一键顺滑切换；具备曲线对比功能，可保留每次采样数据，可同时显示多组数据曲线；屏幕上可选自动、手动采样模式，自由调节采样频率、区间，可根据实验教学要求采样取值；屏幕上可选usb有线连接方式和蓝牙无线连接方式，内置蓝牙通讯模块，可根据实验教学需要切换工作模式；屏幕上可自定义逻辑指令，并执行一个或多个蜂鸣、振动、延时、记录、停止采集等指令；屏幕上可直接新建实验、保存实验、删除实验等；可直接显示电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#6、支持快速开关机功能；支持智能节能，自动关机。</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E1-16</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气压传感器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技术参数同“B1-06 气压传感器”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19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E1-17</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数字化探究实验软件</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#1、符合最新初中物理教学装备配置标准，满足基础课程、探究性学习、创新实验教学的需求</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#2、软件支持所有已正式发布的同系列传感器，支持即插即用，自动识别所有传感器的类型、量程与接入的通道序号；</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#3、支持1~12路相同或不同的传感器并行采集；支持新建实验模板，支持打开预设实验模板快速进入课标实验，支持保存实验模板；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#4、支持设置采样频率，支持限时采集、循环采集、连续采集和手工采集等多种采集方式；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#5、具有曲线、仪表、表格、数字等多种显示方式，显示框可随意调节大小及位置；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#6、每个实验能多次重复，在同一坐标轴内保存多次采集结果，便于数据比较和分析；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#7、可自定义设置数据名称、单位、颜色、数据点形状；可自定义设置数值显示范围；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#8、可自由定义坐标轴，可自由放大、缩小、全景显示坐标轴，支持曲线的函数拟合、积分、切线、统计等，对实验结果进行充分分析并发现实验规律；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#9、可设置采集数据高于或者低于设定的数值时发出多种形式的警告，构建自动控制系统；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#10、软件可模拟信号发生器，产生2组独立的正弦波或者脉冲波信号；</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#11、软件可采集音频，具有录音功能和录音播放功能，录音时间可调；</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#12、软件可录制实验数据采集过程并回放，播放速率可调；</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#13、应用平台</w:t>
            </w:r>
            <w:r>
              <w:rPr>
                <w:rFonts w:hint="eastAsia" w:ascii="宋体" w:hAnsi="宋体" w:cs="宋体"/>
                <w:i w:val="0"/>
                <w:iCs w:val="0"/>
                <w:color w:val="auto"/>
                <w:sz w:val="21"/>
                <w:szCs w:val="21"/>
                <w:u w:val="none"/>
                <w:lang w:val="en-US" w:eastAsia="zh-CN" w:bidi="ar"/>
              </w:rPr>
              <w:t xml:space="preserve">支持</w:t>
            </w:r>
            <w:r>
              <w:rPr>
                <w:rFonts w:hint="eastAsia" w:ascii="宋体" w:hAnsi="宋体" w:eastAsia="宋体" w:cs="宋体"/>
                <w:i w:val="0"/>
                <w:iCs w:val="0"/>
                <w:color w:val="auto"/>
                <w:sz w:val="21"/>
                <w:szCs w:val="21"/>
                <w:u w:val="none"/>
                <w:lang w:val="en-US" w:eastAsia="zh-CN" w:bidi="ar"/>
              </w:rPr>
              <w:t xml:space="preserve">：WindowsXP、Windows7、Windows8、Windows10、Windows11等。</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40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E1-18</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智能数字实验终端</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#1、组成：智能数字实验终端、8路TYPE-C接口、4路USB接口等组成，传感器插头采用双面设计，双向易插易用，且与采集器之间无需有线连接；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#2、无需实体功能按键或触摸笔，需融合数据采集器和内置≥4.3寸电容触摸屏为一体化设计，为保证产品整体性和性能稳定性，不接受分体拼接模式；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#3、支持曲线、仪表、表格、数字等多种显示方式，并且显示方式之间有一键切换功能；支持多次采样，多曲线显示功能；支持逻辑输出功能；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与计算机或便携式实验终端连接采用USB2.0通讯协议，12路全数字通道，可同时接入12个传感器同时工作；传感器嵌合卡口采用隐藏式智能Type-C接口，数字、模拟共用，传感器可任意热拔插、更换种类、更换位置、同时连接、并行采集、即插即用、实时显示数据、通信快速稳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内置蓝牙通讯模块，可根据实验教学需要，方便有线、无线工作模式切换；①有线通讯方式：在显示屏上点击“usb连接方式”，与计算机或便携实验终端的USB口有线连接进行实验；②无线通讯方式：在显示屏上点击“蓝牙连接方式”，输入“蓝牙地址”，与计算机或便携实验终端无线连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内置自定义采样功能，可根据实验教学要求，方便自动、手动采样模式切换；①自动采样模式：在显示屏上设置自动采样频率和时间；②手动采样模式，在显示屏上选择手动模式，采集数据时需手动点击“取值”按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#7、内置逻辑指令功能，可设置多种自定义条件时，执行一个或多个蜂鸣器、振动、延时、记录、停止采集等指令，满足复杂数字实验条件下的智能需求；支持新建实验、保存实验、删除实验等功能；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#8、内置大容量可充电锂电池，供室内及户外长时间使用；智能节能模式①：可设置背光亮度；智能节能模式②：一段时间无任何操作，进入熄屏模式，再过一段时间自动关机；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#9、内置TF卡卡槽，最大可支持256GB内存卡；内置蜂鸣器和振动马达，可根据需要执行逻辑指令功能；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#10、支持快速开关机功能，极速启动，即时进入实验界面。</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E1-19</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铝合金箱及附件</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技术参数同“B1-18 铝合金箱及附件”</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E1-20</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力传感器附件</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#1、用于配合力传感器使用，称重组件用于测量物体的质量，压力实验组件用于测量物体的表面压力。</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#2、由称重组件和压力实验组件构成。称重组件含托盘和底座，压力实验组件含尖头顶针和平头顶针。</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62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E1-21</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多用力学轨道</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#1、用于中学物理测量轨道小车运动的位移、速度、加速度、时间等实验，配合力传感器、光电门传感器、位移传感器使用。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含1.2m强化铝合金轨道1条、轨道小车2辆、弹簧2条、固定柱2只、50克配重片4片、沙桶1只、挡光片五片（20×2、40、60、80）、摩擦块1块、磁碰片2片、磁碰座架1套、弹性碰圈2只、滑轮1套、小车收纳器1套、轨道倾角调节器1套、T型支撑架1只、塑料I型支架2只、塑料L型挂架2只、铝合金I型支架4只、紧固螺丝件1套。</w:t>
            </w:r>
            <w:r/>
          </w:p>
        </w:tc>
        <w:tc>
          <w:tcPr>
            <w:tcW w:w="3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E1-22</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作用力与反作用力实验器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#1、用于初中物理力的作用是相互的实验，用于高中物理牛顿第三定律实验。配合2只力传感器使用。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#2、由亚克力底板支架、滑板支架和连接套件构成。可使两个力传感器在同一方向上受力。</w:t>
            </w:r>
            <w:r/>
          </w:p>
        </w:tc>
        <w:tc>
          <w:tcPr>
            <w:tcW w:w="3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62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E1-23</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浮力定律实验器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#1、用于初中物理浮力相关实验，探究影响浮力大小的因素，配合力传感器使用，用压差法求得F浮-V图线关系。</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由无级调节升降台、溢水杯、专用物块、水平杆、十字转接器及塑帽螺栓构成，专用物块由5只相同的铝圆块用细杆连接而成。配合铁架台及力传感器使用，验证浮力定律。升降台采用齿轮式升降结构由下而上移动溢水杯，可改变物块浸入深度，测得不同的F浮数值。</w:t>
            </w:r>
            <w:r/>
          </w:p>
        </w:tc>
        <w:tc>
          <w:tcPr>
            <w:tcW w:w="3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E1-24</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二力平衡实验器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#1、用于初中物理二力平衡实验。与力传感器配合使用，测量物体运动过程中力的变化情况。与光电门传感器配合，可扩展为同时测量物体运动速度功能。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#2、由匀速运动升降装置、砝码、多向转接头、横杆等组成。匀速运动升降装置内置可充电电池，无需外接电源，Type C充电口，可使用传感器线充电。</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E1-25</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电阻定律实验器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#1、用于中学物理电阻相关实验，探究电阻的材料、长度、横截面积对导体电阻大小的影响。配合电压、电流传感器使用。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#2、由底座和铜、铁、镍铬三种材料的金属丝构成。</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35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E1-26</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焦耳定律实验器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#1、用于初中物理探究电流热效应与电流、电流热效应与电阻的关系实验。用于高中物理焦耳定律实验。配合3个温度传感器使用。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由PCB底板、接线柱、调节开关、不同阻值电阻丝和3个透明保温量热器组成。电阻丝对应面板位置有传感器插入孔，与传感器适配性高，配合温度传感器，能定量地反映出电流热效应与电流、导体电阻和通电时间的关系。</w:t>
            </w:r>
            <w:r/>
          </w:p>
        </w:tc>
        <w:tc>
          <w:tcPr>
            <w:tcW w:w="3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E1-27</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吸热散热实验器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#1、用于探究不同颜色的同一物质的吸热散热性能。配合1～3只温度传感器使用。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#2、由黑色耐高温亚克力双层底座，模拟太阳灯，光源灯泡，三只表面颜色不同、材质相同的实验瓶等组成。</w:t>
            </w:r>
            <w:r/>
          </w:p>
        </w:tc>
        <w:tc>
          <w:tcPr>
            <w:tcW w:w="3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E1-28</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比热容实验器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#1、用于初中物理“比热容实验”“比较不同物质的吸热情况”，用于初高中生物“温室效应”实验。</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#2、由加热器、试管*2、试管卡夹、带孔橡胶塞*2、带孔橡胶圈等组件构成。</w:t>
            </w:r>
            <w:r/>
          </w:p>
        </w:tc>
        <w:tc>
          <w:tcPr>
            <w:tcW w:w="3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E1-29</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电磁铁实验器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#1、用于初中物理测量不同匝数相同电流或同一线圈不同电流时线圈产生磁感强度。配合磁场传感器使用。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#2、由底座、不同匝数线圈、铁芯、不同匝数接线柱和磁场探头架组成。可选200匝、400匝和600匝线圈。</w:t>
            </w:r>
            <w:r/>
          </w:p>
        </w:tc>
        <w:tc>
          <w:tcPr>
            <w:tcW w:w="3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E1-30</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摩擦力实验器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#1、用于中学物理摩擦力实验，研究平面或斜面上不同材质/质量物体的静摩擦力、最大静摩擦力和滑动摩擦力。配合力传感器使用。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#2、由底座、摩擦块、电机、电源适配器、控制开关等组成。</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E1-31</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环形线圈</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#1、用于中学物理测量切割地磁场产生的感生电流，也可测不同电器的电磁辐射强度。配合微电流传感器使用。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#2、塑壳封装、带屏蔽、高灵敏度、无源。</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E1-32</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匀强螺线管</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#1、用于中学物理研究匀强磁场实验，得出在通电线圈外部及内部的磁场强度大小及分布，产生匀强磁场。配合磁感应强度传感器使用。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35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E1-33</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电学实验板</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#1、用于中学物理电学多个相关实验。配合电压传感器、电流传感器、微电流传感器使用。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高度集成共12块。半波、全波整流、滤波；RC、RL移相；LC振荡；复杂电路分析；测量电池的电动势和内阻；分压、限流；恒压源、恒流源；双稳态、多谐振荡；简单门电路；串并联及电容充放电；描绘小灯泡的伏安特性曲线等。</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E1-34</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玻璃导电实验器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#1、用于中学物理探究玻璃常温/熔融状态的导电规律。配合微电流传感器使用。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#2、由底座、专用实验板组成。</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72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E1-35</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温差电流实验器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#1、用于中学物理探究温差发电现象。配合多量程电流传感器使用。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#2、由底座、接线柱、铜铝金属加热杆等组成。</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E1-36</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流体压强实验器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#1、用于初中物理流体压强与流速的关系实验，用于伯努利定律的演示和实验探究。配合三只相对压强传感器使用。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#2、由气泵、三节不同粗细的套管、气压接头和支架组成，可清晰显示气流的不同流速对应的气体压强差异。</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56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E1-37</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液体内部压强实验器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#1、用于初中物理探究液体内部压强的存在，以及影响液体内部压强的因素实验，供教师演示和学生实验用。配合气压传感器做定量分析。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#2、由水槽、上下同步轮及旋钮、同步带、刻度尺、透明支撑架、旋转架、硅胶制的橡皮膜套、承压盒、硅胶管、宝塔转接头、传感器鲁尔接头等组成。旋动上部同步旋钮，能使承压盒绕主轴作360°旋转。</w:t>
            </w:r>
            <w:r/>
          </w:p>
        </w:tc>
        <w:tc>
          <w:tcPr>
            <w:tcW w:w="3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0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E1-38</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金属热膨胀实验器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#1、用于中学物理研究金属的热胀冷缩的规律。配合力传感器使用。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#2、由金属底座、开孔固定杆、两头带接线端的铜丝、活动螺丝钩组成。活动螺丝钩可微调金属丝绷紧程度，加热金属丝时可灵敏</w:t>
            </w:r>
            <w:r>
              <w:rPr>
                <w:rFonts w:hint="eastAsia" w:ascii="宋体" w:hAnsi="宋体" w:cs="宋体"/>
                <w:i w:val="0"/>
                <w:iCs w:val="0"/>
                <w:color w:val="auto"/>
                <w:sz w:val="21"/>
                <w:szCs w:val="21"/>
                <w:u w:val="none"/>
                <w:lang w:val="en-US" w:eastAsia="zh-CN" w:bidi="ar"/>
              </w:rPr>
              <w:t xml:space="preserve">反应</w:t>
            </w:r>
            <w:r>
              <w:rPr>
                <w:rFonts w:hint="eastAsia" w:ascii="宋体" w:hAnsi="宋体" w:eastAsia="宋体" w:cs="宋体"/>
                <w:i w:val="0"/>
                <w:iCs w:val="0"/>
                <w:color w:val="auto"/>
                <w:sz w:val="21"/>
                <w:szCs w:val="21"/>
                <w:u w:val="none"/>
                <w:lang w:val="en-US" w:eastAsia="zh-CN" w:bidi="ar"/>
              </w:rPr>
              <w:t xml:space="preserve">力的变化。</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4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E1-39</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压缩气体做功实验器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#1、用于中学物理压缩气体做功实验，研究气体压缩或膨胀时温度的变化。配合温度传感器使用。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#2、由底座、橡胶管</w:t>
            </w:r>
            <w:r>
              <w:rPr>
                <w:rFonts w:hint="eastAsia" w:ascii="宋体" w:hAnsi="宋体" w:cs="宋体"/>
                <w:i w:val="0"/>
                <w:iCs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组成。</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E1-40</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摩擦做功实验器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#1、用于中学物理摩擦生热实验，可探究绳子摩擦后金属棒升温，验证机械能转化为内能。配合温度传感器使用。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#2、由铜管、支架、摩擦绳组成。</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76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E1-41</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小型材料实验器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#1、用于探究不同的材料在受到相同力的作用下，其形变各不相同，配合力传感器使用。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#2、由亚克力底座支架板、不同材料棍子组成。</w:t>
            </w:r>
            <w:r/>
          </w:p>
        </w:tc>
        <w:tc>
          <w:tcPr>
            <w:tcW w:w="3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E1-42</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人体发电实验器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#1、可用于探究原电池的原理，研究人体原电池的发电与哪些因素有关。与电压、电流传感器配合使用。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#2、由底座、多根不同材质的金属棒及固定件构成。</w:t>
            </w:r>
            <w:r/>
          </w:p>
        </w:tc>
        <w:tc>
          <w:tcPr>
            <w:tcW w:w="3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W w:w="595"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W w:w="32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E2、学生端传感器和配套实验器材</w:t>
            </w:r>
            <w:r/>
          </w:p>
        </w:tc>
        <w:tc>
          <w:tcPr>
            <w:tcW w:w="350" w:type="pct"/>
            <w:vAlign w:val="center"/>
            <w:textDirection w:val="lrTb"/>
            <w:noWrap/>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W w:w="399" w:type="pct"/>
            <w:vAlign w:val="center"/>
            <w:textDirection w:val="lrTb"/>
            <w:noWrap/>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E2-01</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便携式实验终端</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技术参数同“B1-01 便携式实验终端”</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E2-02</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数据采集器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技术参数同“B1-02 数据采集器”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E2-03</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力传感器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技术参数同“E1-04 力传感器”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E2-04</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温度传感器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技术参数同“B2-03 温度传感器”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62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E2-05</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声波传感器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#1、量程：20Hz～20,000Hz，分辨率：1Hz。用于探测声音的波形。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#2、传感器支持Type-C直连有线通讯、采集器多路有线通讯、无线通讯、独立数据显示</w:t>
            </w:r>
            <w:r>
              <w:rPr>
                <w:rFonts w:hint="eastAsia" w:ascii="宋体" w:hAnsi="宋体" w:cs="宋体"/>
                <w:i w:val="0"/>
                <w:iCs w:val="0"/>
                <w:strike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E2-06</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光电门传感器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技术参数同“E1-06 光电门传感器”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189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E2-07</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微电流传感器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#1、量程：±50μA，分辨率：0.02μA。用于测量电路、电器两端的微安数量级的电流。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#2、传感器支持Type-C直连有线通讯、采集器多路有线通讯、无线通讯、独立数据显示</w:t>
            </w:r>
            <w:r>
              <w:rPr>
                <w:rFonts w:hint="eastAsia" w:ascii="宋体" w:hAnsi="宋体" w:cs="宋体"/>
                <w:i w:val="0"/>
                <w:iCs w:val="0"/>
                <w:strike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E2-08</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多量程电流传感器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技术参数同“E1-09 多量程电流传感器”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E2-09</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多量程电压传感器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技术参数同“E1-10 多量程电压传感器”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085"/>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E2-10</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磁场传感器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#1、量程：-100mT～+100mT，分辨率：0.05mT。用于测量磁场的磁感应强度。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#2、传感器支持Type-C直连有线通讯、采集器多路有线通讯、无线通讯、独立数据显示</w:t>
            </w:r>
            <w:r>
              <w:rPr>
                <w:rFonts w:hint="eastAsia" w:ascii="宋体" w:hAnsi="宋体" w:cs="宋体"/>
                <w:i w:val="0"/>
                <w:iCs w:val="0"/>
                <w:strike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E2-11</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分体位移传感器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 0m～2m，分辨率：0.5mm。用于小车运动时速度的测量、用于测量物体间的位移或距离。</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由发射端和接收端两个部分组成，发射器带有拨动开关，内置锂电池，可充电。实验时，发射端与实验器材组合，接收端与数据采集器或PC连接，通过发射端发射超声波，接收端接收超声波信号，计算转化成位移。</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#3、传感器支持Type-C直连有线通讯、采集器多路有线通讯、无线通讯、独立数据显示</w:t>
            </w:r>
            <w:r>
              <w:rPr>
                <w:rFonts w:hint="eastAsia" w:ascii="宋体" w:hAnsi="宋体" w:cs="宋体"/>
                <w:i w:val="0"/>
                <w:iCs w:val="0"/>
                <w:strike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E2-12</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气压传感器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技术参数同“B2-05 气压传感器”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E2-13</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铝合金箱及附件</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技术参数同“B1-18 铝合金箱及附件”</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E2-14</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多用力学轨道</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技术参数同“E1-21 多用力学轨道”</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E2-15</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浮力定律实验器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技术参数同“E1-23 浮力定律实验器”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E2-16</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二力平衡实验器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技术参数同“E1-24 二力平衡实验器”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E2-17</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焦耳定律实验器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技术参数同“E1-26 焦耳定律实验器”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E2-18</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比热容实验器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技术参数同“E1-28 比热容实验器”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E2-19</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电磁铁实验器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技术参数同“E1-29 电磁铁实验器”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E2-20</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摩擦力实验器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技术参数同“E1-30 摩擦力实验器”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E2-21</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液体内部压强实验器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技术参数同“E1-37 液体内部压强实验器”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E2-22</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摩擦做功实验器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技术参数同“E1-40 摩擦做功实验器”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E2-23</w:t>
            </w:r>
            <w:r/>
          </w:p>
        </w:tc>
        <w:tc>
          <w:tcPr>
            <w:tcW w:w="59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人体发电实验器</w:t>
            </w:r>
            <w:r/>
          </w:p>
        </w:tc>
        <w:tc>
          <w:tcPr>
            <w:tcW w:w="326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技术参数同“E1-42 人体发电实验器”</w:t>
            </w:r>
            <w:r/>
          </w:p>
        </w:tc>
        <w:tc>
          <w:tcPr>
            <w:tcW w:w="3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bl>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bl>
      <w:tblPr>
        <w:tblStyle w:val="72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1125"/>
        <w:gridCol w:w="6420"/>
        <w:gridCol w:w="795"/>
        <w:gridCol w:w="773"/>
      </w:tblGrid>
      <w:tr>
        <w:trPr>
          <w:trHeight w:val="27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7150" cy="152400"/>
                      <wp:effectExtent l="0" t="0" r="0" b="0"/>
                      <wp:wrapNone/>
                      <wp:docPr id="2" name="Picture_197"/>
                      <wp:cNvGraphicFramePr/>
                      <a:graphic xmlns:a="http://schemas.openxmlformats.org/drawingml/2006/main">
                        <a:graphicData uri="http://schemas.openxmlformats.org/drawingml/2006/picture">
                          <pic:pic xmlns:pic="http://schemas.openxmlformats.org/drawingml/2006/picture">
                            <pic:nvPicPr>
                              <pic:cNvPr id="2" name="Picture_197"/>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7150" cy="152400"/>
                      <wp:effectExtent l="0" t="0" r="0" b="0"/>
                      <wp:wrapNone/>
                      <wp:docPr id="3" name="Picture_204"/>
                      <wp:cNvGraphicFramePr/>
                      <a:graphic xmlns:a="http://schemas.openxmlformats.org/drawingml/2006/main">
                        <a:graphicData uri="http://schemas.openxmlformats.org/drawingml/2006/picture">
                          <pic:pic xmlns:pic="http://schemas.openxmlformats.org/drawingml/2006/picture">
                            <pic:nvPicPr>
                              <pic:cNvPr id="3" name="Picture_204"/>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57150" cy="152400"/>
                      <wp:effectExtent l="0" t="0" r="0" b="0"/>
                      <wp:wrapNone/>
                      <wp:docPr id="4" name="Picture_204_SpCnt_1"/>
                      <wp:cNvGraphicFramePr/>
                      <a:graphic xmlns:a="http://schemas.openxmlformats.org/drawingml/2006/main">
                        <a:graphicData uri="http://schemas.openxmlformats.org/drawingml/2006/picture">
                          <pic:pic xmlns:pic="http://schemas.openxmlformats.org/drawingml/2006/picture">
                            <pic:nvPicPr>
                              <pic:cNvPr id="4" name="Picture_204_SpCnt_1"/>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57150" cy="152400"/>
                      <wp:effectExtent l="0" t="0" r="0" b="0"/>
                      <wp:wrapNone/>
                      <wp:docPr id="5" name="Picture_409"/>
                      <wp:cNvGraphicFramePr/>
                      <a:graphic xmlns:a="http://schemas.openxmlformats.org/drawingml/2006/main">
                        <a:graphicData uri="http://schemas.openxmlformats.org/drawingml/2006/picture">
                          <pic:pic xmlns:pic="http://schemas.openxmlformats.org/drawingml/2006/picture">
                            <pic:nvPicPr>
                              <pic:cNvPr id="5" name="Picture_409"/>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57150" cy="152400"/>
                      <wp:effectExtent l="0" t="0" r="0" b="0"/>
                      <wp:wrapNone/>
                      <wp:docPr id="6" name="Picture_409_SpCnt_1"/>
                      <wp:cNvGraphicFramePr/>
                      <a:graphic xmlns:a="http://schemas.openxmlformats.org/drawingml/2006/main">
                        <a:graphicData uri="http://schemas.openxmlformats.org/drawingml/2006/picture">
                          <pic:pic xmlns:pic="http://schemas.openxmlformats.org/drawingml/2006/picture">
                            <pic:nvPicPr>
                              <pic:cNvPr id="6" name="Picture_409_SpCnt_1"/>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3360;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57150" cy="147955"/>
                      <wp:effectExtent l="0" t="0" r="0" b="0"/>
                      <wp:wrapNone/>
                      <wp:docPr id="7" name="Picture_409_SpCnt_2"/>
                      <wp:cNvGraphicFramePr/>
                      <a:graphic xmlns:a="http://schemas.openxmlformats.org/drawingml/2006/main">
                        <a:graphicData uri="http://schemas.openxmlformats.org/drawingml/2006/picture">
                          <pic:pic xmlns:pic="http://schemas.openxmlformats.org/drawingml/2006/picture">
                            <pic:nvPicPr>
                              <pic:cNvPr id="7" name="Picture_409_SpCnt_2"/>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438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57150" cy="147955"/>
                      <wp:effectExtent l="0" t="0" r="0" b="0"/>
                      <wp:wrapNone/>
                      <wp:docPr id="8" name="Picture_408"/>
                      <wp:cNvGraphicFramePr/>
                      <a:graphic xmlns:a="http://schemas.openxmlformats.org/drawingml/2006/main">
                        <a:graphicData uri="http://schemas.openxmlformats.org/drawingml/2006/picture">
                          <pic:pic xmlns:pic="http://schemas.openxmlformats.org/drawingml/2006/picture">
                            <pic:nvPicPr>
                              <pic:cNvPr id="8" name="Picture_408"/>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540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57150" cy="152400"/>
                      <wp:effectExtent l="0" t="0" r="0" b="0"/>
                      <wp:wrapNone/>
                      <wp:docPr id="9" name="Picture_408_SpCnt_1"/>
                      <wp:cNvGraphicFramePr/>
                      <a:graphic xmlns:a="http://schemas.openxmlformats.org/drawingml/2006/main">
                        <a:graphicData uri="http://schemas.openxmlformats.org/drawingml/2006/picture">
                          <pic:pic xmlns:pic="http://schemas.openxmlformats.org/drawingml/2006/picture">
                            <pic:nvPicPr>
                              <pic:cNvPr id="9" name="Picture_408_SpCnt_1"/>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6432;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57150" cy="147955"/>
                      <wp:effectExtent l="0" t="0" r="0" b="0"/>
                      <wp:wrapNone/>
                      <wp:docPr id="10" name="Picture_407"/>
                      <wp:cNvGraphicFramePr/>
                      <a:graphic xmlns:a="http://schemas.openxmlformats.org/drawingml/2006/main">
                        <a:graphicData uri="http://schemas.openxmlformats.org/drawingml/2006/picture">
                          <pic:pic xmlns:pic="http://schemas.openxmlformats.org/drawingml/2006/picture">
                            <pic:nvPicPr>
                              <pic:cNvPr id="10" name="Picture_407"/>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745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0</wp:posOffset>
                      </wp:positionH>
                      <wp:positionV relativeFrom="paragraph">
                        <wp:posOffset>0</wp:posOffset>
                      </wp:positionV>
                      <wp:extent cx="57150" cy="147955"/>
                      <wp:effectExtent l="0" t="0" r="0" b="0"/>
                      <wp:wrapNone/>
                      <wp:docPr id="11" name="Picture_248"/>
                      <wp:cNvGraphicFramePr/>
                      <a:graphic xmlns:a="http://schemas.openxmlformats.org/drawingml/2006/main">
                        <a:graphicData uri="http://schemas.openxmlformats.org/drawingml/2006/picture">
                          <pic:pic xmlns:pic="http://schemas.openxmlformats.org/drawingml/2006/picture">
                            <pic:nvPicPr>
                              <pic:cNvPr id="11" name="Picture_248"/>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848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0</wp:posOffset>
                      </wp:positionH>
                      <wp:positionV relativeFrom="paragraph">
                        <wp:posOffset>0</wp:posOffset>
                      </wp:positionV>
                      <wp:extent cx="57150" cy="152400"/>
                      <wp:effectExtent l="0" t="0" r="0" b="0"/>
                      <wp:wrapNone/>
                      <wp:docPr id="12" name="Picture_408_SpCnt_2"/>
                      <wp:cNvGraphicFramePr/>
                      <a:graphic xmlns:a="http://schemas.openxmlformats.org/drawingml/2006/main">
                        <a:graphicData uri="http://schemas.openxmlformats.org/drawingml/2006/picture">
                          <pic:pic xmlns:pic="http://schemas.openxmlformats.org/drawingml/2006/picture">
                            <pic:nvPicPr>
                              <pic:cNvPr id="12" name="Picture_408_SpCnt_2"/>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9504;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0</wp:posOffset>
                      </wp:positionH>
                      <wp:positionV relativeFrom="paragraph">
                        <wp:posOffset>0</wp:posOffset>
                      </wp:positionV>
                      <wp:extent cx="57150" cy="152400"/>
                      <wp:effectExtent l="0" t="0" r="0" b="0"/>
                      <wp:wrapNone/>
                      <wp:docPr id="13" name="Picture_407_SpCnt_1"/>
                      <wp:cNvGraphicFramePr/>
                      <a:graphic xmlns:a="http://schemas.openxmlformats.org/drawingml/2006/main">
                        <a:graphicData uri="http://schemas.openxmlformats.org/drawingml/2006/picture">
                          <pic:pic xmlns:pic="http://schemas.openxmlformats.org/drawingml/2006/picture">
                            <pic:nvPicPr>
                              <pic:cNvPr id="13" name="Picture_407_SpCnt_1"/>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052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57150" cy="147955"/>
                      <wp:effectExtent l="0" t="0" r="0" b="0"/>
                      <wp:wrapNone/>
                      <wp:docPr id="14" name="Picture_247"/>
                      <wp:cNvGraphicFramePr/>
                      <a:graphic xmlns:a="http://schemas.openxmlformats.org/drawingml/2006/main">
                        <a:graphicData uri="http://schemas.openxmlformats.org/drawingml/2006/picture">
                          <pic:pic xmlns:pic="http://schemas.openxmlformats.org/drawingml/2006/picture">
                            <pic:nvPicPr>
                              <pic:cNvPr id="14" name="Picture_247"/>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155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57150" cy="147955"/>
                      <wp:effectExtent l="0" t="0" r="0" b="0"/>
                      <wp:wrapNone/>
                      <wp:docPr id="15" name="Picture_246"/>
                      <wp:cNvGraphicFramePr/>
                      <a:graphic xmlns:a="http://schemas.openxmlformats.org/drawingml/2006/main">
                        <a:graphicData uri="http://schemas.openxmlformats.org/drawingml/2006/picture">
                          <pic:pic xmlns:pic="http://schemas.openxmlformats.org/drawingml/2006/picture">
                            <pic:nvPicPr>
                              <pic:cNvPr id="15" name="Picture_246"/>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257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0</wp:posOffset>
                      </wp:positionH>
                      <wp:positionV relativeFrom="paragraph">
                        <wp:posOffset>0</wp:posOffset>
                      </wp:positionV>
                      <wp:extent cx="57150" cy="152400"/>
                      <wp:effectExtent l="0" t="0" r="0" b="0"/>
                      <wp:wrapNone/>
                      <wp:docPr id="16" name="Picture_248_SpCnt_1"/>
                      <wp:cNvGraphicFramePr/>
                      <a:graphic xmlns:a="http://schemas.openxmlformats.org/drawingml/2006/main">
                        <a:graphicData uri="http://schemas.openxmlformats.org/drawingml/2006/picture">
                          <pic:pic xmlns:pic="http://schemas.openxmlformats.org/drawingml/2006/picture">
                            <pic:nvPicPr>
                              <pic:cNvPr id="16" name="Picture_248_SpCnt_1"/>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3600;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0</wp:posOffset>
                      </wp:positionH>
                      <wp:positionV relativeFrom="paragraph">
                        <wp:posOffset>0</wp:posOffset>
                      </wp:positionV>
                      <wp:extent cx="57150" cy="147955"/>
                      <wp:effectExtent l="0" t="0" r="0" b="0"/>
                      <wp:wrapNone/>
                      <wp:docPr id="17" name="Picture_245"/>
                      <wp:cNvGraphicFramePr/>
                      <a:graphic xmlns:a="http://schemas.openxmlformats.org/drawingml/2006/main">
                        <a:graphicData uri="http://schemas.openxmlformats.org/drawingml/2006/picture">
                          <pic:pic xmlns:pic="http://schemas.openxmlformats.org/drawingml/2006/picture">
                            <pic:nvPicPr>
                              <pic:cNvPr id="17" name="Picture_245"/>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462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0</wp:posOffset>
                      </wp:positionH>
                      <wp:positionV relativeFrom="paragraph">
                        <wp:posOffset>0</wp:posOffset>
                      </wp:positionV>
                      <wp:extent cx="57150" cy="147955"/>
                      <wp:effectExtent l="0" t="0" r="0" b="0"/>
                      <wp:wrapNone/>
                      <wp:docPr id="18" name="Picture_205"/>
                      <wp:cNvGraphicFramePr/>
                      <a:graphic xmlns:a="http://schemas.openxmlformats.org/drawingml/2006/main">
                        <a:graphicData uri="http://schemas.openxmlformats.org/drawingml/2006/picture">
                          <pic:pic xmlns:pic="http://schemas.openxmlformats.org/drawingml/2006/picture">
                            <pic:nvPicPr>
                              <pic:cNvPr id="18" name="Picture_205"/>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564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0</wp:posOffset>
                      </wp:positionH>
                      <wp:positionV relativeFrom="paragraph">
                        <wp:posOffset>0</wp:posOffset>
                      </wp:positionV>
                      <wp:extent cx="57150" cy="152400"/>
                      <wp:effectExtent l="0" t="0" r="0" b="0"/>
                      <wp:wrapNone/>
                      <wp:docPr id="19" name="Picture_200"/>
                      <wp:cNvGraphicFramePr/>
                      <a:graphic xmlns:a="http://schemas.openxmlformats.org/drawingml/2006/main">
                        <a:graphicData uri="http://schemas.openxmlformats.org/drawingml/2006/picture">
                          <pic:pic xmlns:pic="http://schemas.openxmlformats.org/drawingml/2006/picture">
                            <pic:nvPicPr>
                              <pic:cNvPr id="19" name="Picture_200"/>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6672;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0</wp:posOffset>
                      </wp:positionH>
                      <wp:positionV relativeFrom="paragraph">
                        <wp:posOffset>0</wp:posOffset>
                      </wp:positionV>
                      <wp:extent cx="57150" cy="152400"/>
                      <wp:effectExtent l="0" t="0" r="0" b="0"/>
                      <wp:wrapNone/>
                      <wp:docPr id="20" name="Picture_407_SpCnt_2"/>
                      <wp:cNvGraphicFramePr/>
                      <a:graphic xmlns:a="http://schemas.openxmlformats.org/drawingml/2006/main">
                        <a:graphicData uri="http://schemas.openxmlformats.org/drawingml/2006/picture">
                          <pic:pic xmlns:pic="http://schemas.openxmlformats.org/drawingml/2006/picture">
                            <pic:nvPicPr>
                              <pic:cNvPr id="20" name="Picture_407_SpCnt_2"/>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7696;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0</wp:posOffset>
                      </wp:positionH>
                      <wp:positionV relativeFrom="paragraph">
                        <wp:posOffset>0</wp:posOffset>
                      </wp:positionV>
                      <wp:extent cx="57150" cy="152400"/>
                      <wp:effectExtent l="0" t="0" r="0" b="0"/>
                      <wp:wrapNone/>
                      <wp:docPr id="21" name="Picture_247_SpCnt_1"/>
                      <wp:cNvGraphicFramePr/>
                      <a:graphic xmlns:a="http://schemas.openxmlformats.org/drawingml/2006/main">
                        <a:graphicData uri="http://schemas.openxmlformats.org/drawingml/2006/picture">
                          <pic:pic xmlns:pic="http://schemas.openxmlformats.org/drawingml/2006/picture">
                            <pic:nvPicPr>
                              <pic:cNvPr id="21" name="Picture_247_SpCnt_1"/>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8720;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0</wp:posOffset>
                      </wp:positionH>
                      <wp:positionV relativeFrom="paragraph">
                        <wp:posOffset>0</wp:posOffset>
                      </wp:positionV>
                      <wp:extent cx="57150" cy="147955"/>
                      <wp:effectExtent l="0" t="0" r="0" b="0"/>
                      <wp:wrapNone/>
                      <wp:docPr id="22" name="Picture_204_SpCnt_2"/>
                      <wp:cNvGraphicFramePr/>
                      <a:graphic xmlns:a="http://schemas.openxmlformats.org/drawingml/2006/main">
                        <a:graphicData uri="http://schemas.openxmlformats.org/drawingml/2006/picture">
                          <pic:pic xmlns:pic="http://schemas.openxmlformats.org/drawingml/2006/picture">
                            <pic:nvPicPr>
                              <pic:cNvPr id="22" name="Picture_204_SpCnt_2"/>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7974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0</wp:posOffset>
                      </wp:positionH>
                      <wp:positionV relativeFrom="paragraph">
                        <wp:posOffset>0</wp:posOffset>
                      </wp:positionV>
                      <wp:extent cx="57150" cy="147955"/>
                      <wp:effectExtent l="0" t="0" r="0" b="0"/>
                      <wp:wrapNone/>
                      <wp:docPr id="23" name="Picture_200_SpCnt_1"/>
                      <wp:cNvGraphicFramePr/>
                      <a:graphic xmlns:a="http://schemas.openxmlformats.org/drawingml/2006/main">
                        <a:graphicData uri="http://schemas.openxmlformats.org/drawingml/2006/picture">
                          <pic:pic xmlns:pic="http://schemas.openxmlformats.org/drawingml/2006/picture">
                            <pic:nvPicPr>
                              <pic:cNvPr id="23" name="Picture_200_SpCnt_1"/>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8076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0</wp:posOffset>
                      </wp:positionH>
                      <wp:positionV relativeFrom="paragraph">
                        <wp:posOffset>0</wp:posOffset>
                      </wp:positionV>
                      <wp:extent cx="57150" cy="152400"/>
                      <wp:effectExtent l="0" t="0" r="0" b="0"/>
                      <wp:wrapNone/>
                      <wp:docPr id="24" name="Picture_246_SpCnt_1"/>
                      <wp:cNvGraphicFramePr/>
                      <a:graphic xmlns:a="http://schemas.openxmlformats.org/drawingml/2006/main">
                        <a:graphicData uri="http://schemas.openxmlformats.org/drawingml/2006/picture">
                          <pic:pic xmlns:pic="http://schemas.openxmlformats.org/drawingml/2006/picture">
                            <pic:nvPicPr>
                              <pic:cNvPr id="24" name="Picture_246_SpCnt_1"/>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81792;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0</wp:posOffset>
                      </wp:positionH>
                      <wp:positionV relativeFrom="paragraph">
                        <wp:posOffset>0</wp:posOffset>
                      </wp:positionV>
                      <wp:extent cx="57150" cy="147955"/>
                      <wp:effectExtent l="0" t="0" r="0" b="0"/>
                      <wp:wrapNone/>
                      <wp:docPr id="25" name="Picture_197_SpCnt_1"/>
                      <wp:cNvGraphicFramePr/>
                      <a:graphic xmlns:a="http://schemas.openxmlformats.org/drawingml/2006/main">
                        <a:graphicData uri="http://schemas.openxmlformats.org/drawingml/2006/picture">
                          <pic:pic xmlns:pic="http://schemas.openxmlformats.org/drawingml/2006/picture">
                            <pic:nvPicPr>
                              <pic:cNvPr id="25" name="Picture_197_SpCnt_1"/>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8281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0</wp:posOffset>
                      </wp:positionH>
                      <wp:positionV relativeFrom="paragraph">
                        <wp:posOffset>0</wp:posOffset>
                      </wp:positionV>
                      <wp:extent cx="57150" cy="147955"/>
                      <wp:effectExtent l="0" t="0" r="0" b="0"/>
                      <wp:wrapNone/>
                      <wp:docPr id="26" name="Picture_205_SpCnt_1"/>
                      <wp:cNvGraphicFramePr/>
                      <a:graphic xmlns:a="http://schemas.openxmlformats.org/drawingml/2006/main">
                        <a:graphicData uri="http://schemas.openxmlformats.org/drawingml/2006/picture">
                          <pic:pic xmlns:pic="http://schemas.openxmlformats.org/drawingml/2006/picture">
                            <pic:nvPicPr>
                              <pic:cNvPr id="26" name="Picture_205_SpCnt_1"/>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8384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0</wp:posOffset>
                      </wp:positionH>
                      <wp:positionV relativeFrom="paragraph">
                        <wp:posOffset>0</wp:posOffset>
                      </wp:positionV>
                      <wp:extent cx="57150" cy="152400"/>
                      <wp:effectExtent l="0" t="0" r="0" b="0"/>
                      <wp:wrapNone/>
                      <wp:docPr id="27" name="Picture_248_SpCnt_2"/>
                      <wp:cNvGraphicFramePr/>
                      <a:graphic xmlns:a="http://schemas.openxmlformats.org/drawingml/2006/main">
                        <a:graphicData uri="http://schemas.openxmlformats.org/drawingml/2006/picture">
                          <pic:pic xmlns:pic="http://schemas.openxmlformats.org/drawingml/2006/picture">
                            <pic:nvPicPr>
                              <pic:cNvPr id="27" name="Picture_248_SpCnt_2"/>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84864;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0</wp:posOffset>
                      </wp:positionH>
                      <wp:positionV relativeFrom="paragraph">
                        <wp:posOffset>0</wp:posOffset>
                      </wp:positionV>
                      <wp:extent cx="57150" cy="152400"/>
                      <wp:effectExtent l="0" t="0" r="0" b="0"/>
                      <wp:wrapNone/>
                      <wp:docPr id="28" name="Picture_245_SpCnt_1"/>
                      <wp:cNvGraphicFramePr/>
                      <a:graphic xmlns:a="http://schemas.openxmlformats.org/drawingml/2006/main">
                        <a:graphicData uri="http://schemas.openxmlformats.org/drawingml/2006/picture">
                          <pic:pic xmlns:pic="http://schemas.openxmlformats.org/drawingml/2006/picture">
                            <pic:nvPicPr>
                              <pic:cNvPr id="28" name="Picture_245_SpCnt_1"/>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8588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0</wp:posOffset>
                      </wp:positionH>
                      <wp:positionV relativeFrom="paragraph">
                        <wp:posOffset>0</wp:posOffset>
                      </wp:positionV>
                      <wp:extent cx="57150" cy="147955"/>
                      <wp:effectExtent l="0" t="0" r="0" b="0"/>
                      <wp:wrapNone/>
                      <wp:docPr id="29" name="Picture_204_SpCnt_3"/>
                      <wp:cNvGraphicFramePr/>
                      <a:graphic xmlns:a="http://schemas.openxmlformats.org/drawingml/2006/main">
                        <a:graphicData uri="http://schemas.openxmlformats.org/drawingml/2006/picture">
                          <pic:pic xmlns:pic="http://schemas.openxmlformats.org/drawingml/2006/picture">
                            <pic:nvPicPr>
                              <pic:cNvPr id="29" name="Picture_204_SpCnt_3"/>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8691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0</wp:posOffset>
                      </wp:positionH>
                      <wp:positionV relativeFrom="paragraph">
                        <wp:posOffset>0</wp:posOffset>
                      </wp:positionV>
                      <wp:extent cx="57150" cy="147955"/>
                      <wp:effectExtent l="0" t="0" r="0" b="0"/>
                      <wp:wrapNone/>
                      <wp:docPr id="30" name="Picture_200_SpCnt_2"/>
                      <wp:cNvGraphicFramePr/>
                      <a:graphic xmlns:a="http://schemas.openxmlformats.org/drawingml/2006/main">
                        <a:graphicData uri="http://schemas.openxmlformats.org/drawingml/2006/picture">
                          <pic:pic xmlns:pic="http://schemas.openxmlformats.org/drawingml/2006/picture">
                            <pic:nvPicPr>
                              <pic:cNvPr id="30" name="Picture_200_SpCnt_2"/>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8793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0</wp:posOffset>
                      </wp:positionH>
                      <wp:positionV relativeFrom="paragraph">
                        <wp:posOffset>0</wp:posOffset>
                      </wp:positionV>
                      <wp:extent cx="57150" cy="152400"/>
                      <wp:effectExtent l="0" t="0" r="0" b="0"/>
                      <wp:wrapNone/>
                      <wp:docPr id="31" name="Picture_205_SpCnt_2"/>
                      <wp:cNvGraphicFramePr/>
                      <a:graphic xmlns:a="http://schemas.openxmlformats.org/drawingml/2006/main">
                        <a:graphicData uri="http://schemas.openxmlformats.org/drawingml/2006/picture">
                          <pic:pic xmlns:pic="http://schemas.openxmlformats.org/drawingml/2006/picture">
                            <pic:nvPicPr>
                              <pic:cNvPr id="31" name="Picture_205_SpCnt_2"/>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88960;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0</wp:posOffset>
                      </wp:positionH>
                      <wp:positionV relativeFrom="paragraph">
                        <wp:posOffset>0</wp:posOffset>
                      </wp:positionV>
                      <wp:extent cx="57150" cy="147955"/>
                      <wp:effectExtent l="0" t="0" r="0" b="0"/>
                      <wp:wrapNone/>
                      <wp:docPr id="32" name="Picture_197_SpCnt_2"/>
                      <wp:cNvGraphicFramePr/>
                      <a:graphic xmlns:a="http://schemas.openxmlformats.org/drawingml/2006/main">
                        <a:graphicData uri="http://schemas.openxmlformats.org/drawingml/2006/picture">
                          <pic:pic xmlns:pic="http://schemas.openxmlformats.org/drawingml/2006/picture">
                            <pic:nvPicPr>
                              <pic:cNvPr id="32" name="Picture_197_SpCnt_2"/>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8998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0</wp:posOffset>
                      </wp:positionH>
                      <wp:positionV relativeFrom="paragraph">
                        <wp:posOffset>0</wp:posOffset>
                      </wp:positionV>
                      <wp:extent cx="57150" cy="147955"/>
                      <wp:effectExtent l="0" t="0" r="0" b="0"/>
                      <wp:wrapNone/>
                      <wp:docPr id="33" name="Picture_410"/>
                      <wp:cNvGraphicFramePr/>
                      <a:graphic xmlns:a="http://schemas.openxmlformats.org/drawingml/2006/main">
                        <a:graphicData uri="http://schemas.openxmlformats.org/drawingml/2006/picture">
                          <pic:pic xmlns:pic="http://schemas.openxmlformats.org/drawingml/2006/picture">
                            <pic:nvPicPr>
                              <pic:cNvPr id="33" name="Picture_410"/>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9100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0</wp:posOffset>
                      </wp:positionH>
                      <wp:positionV relativeFrom="paragraph">
                        <wp:posOffset>0</wp:posOffset>
                      </wp:positionV>
                      <wp:extent cx="57150" cy="147320"/>
                      <wp:effectExtent l="0" t="0" r="0" b="0"/>
                      <wp:wrapNone/>
                      <wp:docPr id="34" name="Picture_410_SpCnt_1"/>
                      <wp:cNvGraphicFramePr/>
                      <a:graphic xmlns:a="http://schemas.openxmlformats.org/drawingml/2006/main">
                        <a:graphicData uri="http://schemas.openxmlformats.org/drawingml/2006/picture">
                          <pic:pic xmlns:pic="http://schemas.openxmlformats.org/drawingml/2006/picture">
                            <pic:nvPicPr>
                              <pic:cNvPr id="34" name="Picture_410_SpCnt_1"/>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9203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0</wp:posOffset>
                      </wp:positionH>
                      <wp:positionV relativeFrom="paragraph">
                        <wp:posOffset>0</wp:posOffset>
                      </wp:positionV>
                      <wp:extent cx="57150" cy="152400"/>
                      <wp:effectExtent l="0" t="0" r="0" b="0"/>
                      <wp:wrapNone/>
                      <wp:docPr id="35" name="Picture_200_SpCnt_3"/>
                      <wp:cNvGraphicFramePr/>
                      <a:graphic xmlns:a="http://schemas.openxmlformats.org/drawingml/2006/main">
                        <a:graphicData uri="http://schemas.openxmlformats.org/drawingml/2006/picture">
                          <pic:pic xmlns:pic="http://schemas.openxmlformats.org/drawingml/2006/picture">
                            <pic:nvPicPr>
                              <pic:cNvPr id="35" name="Picture_200_SpCnt_3"/>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93056;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0</wp:posOffset>
                      </wp:positionH>
                      <wp:positionV relativeFrom="paragraph">
                        <wp:posOffset>0</wp:posOffset>
                      </wp:positionV>
                      <wp:extent cx="57150" cy="152400"/>
                      <wp:effectExtent l="0" t="0" r="0" b="0"/>
                      <wp:wrapNone/>
                      <wp:docPr id="36" name="Picture_197_SpCnt_3"/>
                      <wp:cNvGraphicFramePr/>
                      <a:graphic xmlns:a="http://schemas.openxmlformats.org/drawingml/2006/main">
                        <a:graphicData uri="http://schemas.openxmlformats.org/drawingml/2006/picture">
                          <pic:pic xmlns:pic="http://schemas.openxmlformats.org/drawingml/2006/picture">
                            <pic:nvPicPr>
                              <pic:cNvPr id="36" name="Picture_197_SpCnt_3"/>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94080;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0</wp:posOffset>
                      </wp:positionH>
                      <wp:positionV relativeFrom="paragraph">
                        <wp:posOffset>0</wp:posOffset>
                      </wp:positionV>
                      <wp:extent cx="57150" cy="152400"/>
                      <wp:effectExtent l="0" t="0" r="0" b="0"/>
                      <wp:wrapNone/>
                      <wp:docPr id="37" name="Picture_247_SpCnt_2"/>
                      <wp:cNvGraphicFramePr/>
                      <a:graphic xmlns:a="http://schemas.openxmlformats.org/drawingml/2006/main">
                        <a:graphicData uri="http://schemas.openxmlformats.org/drawingml/2006/picture">
                          <pic:pic xmlns:pic="http://schemas.openxmlformats.org/drawingml/2006/picture">
                            <pic:nvPicPr>
                              <pic:cNvPr id="37" name="Picture_247_SpCnt_2"/>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95104;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0</wp:posOffset>
                      </wp:positionH>
                      <wp:positionV relativeFrom="paragraph">
                        <wp:posOffset>0</wp:posOffset>
                      </wp:positionV>
                      <wp:extent cx="57150" cy="152400"/>
                      <wp:effectExtent l="0" t="0" r="0" b="0"/>
                      <wp:wrapNone/>
                      <wp:docPr id="38" name="Picture_204_SpCnt_4"/>
                      <wp:cNvGraphicFramePr/>
                      <a:graphic xmlns:a="http://schemas.openxmlformats.org/drawingml/2006/main">
                        <a:graphicData uri="http://schemas.openxmlformats.org/drawingml/2006/picture">
                          <pic:pic xmlns:pic="http://schemas.openxmlformats.org/drawingml/2006/picture">
                            <pic:nvPicPr>
                              <pic:cNvPr id="38" name="Picture_204_SpCnt_4"/>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9612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0</wp:posOffset>
                      </wp:positionH>
                      <wp:positionV relativeFrom="paragraph">
                        <wp:posOffset>0</wp:posOffset>
                      </wp:positionV>
                      <wp:extent cx="57150" cy="147955"/>
                      <wp:effectExtent l="0" t="0" r="0" b="0"/>
                      <wp:wrapNone/>
                      <wp:docPr id="39" name="Picture_409_SpCnt_3"/>
                      <wp:cNvGraphicFramePr/>
                      <a:graphic xmlns:a="http://schemas.openxmlformats.org/drawingml/2006/main">
                        <a:graphicData uri="http://schemas.openxmlformats.org/drawingml/2006/picture">
                          <pic:pic xmlns:pic="http://schemas.openxmlformats.org/drawingml/2006/picture">
                            <pic:nvPicPr>
                              <pic:cNvPr id="39" name="Picture_409_SpCnt_3"/>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9715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0</wp:posOffset>
                      </wp:positionH>
                      <wp:positionV relativeFrom="paragraph">
                        <wp:posOffset>0</wp:posOffset>
                      </wp:positionV>
                      <wp:extent cx="57150" cy="147320"/>
                      <wp:effectExtent l="0" t="0" r="0" b="0"/>
                      <wp:wrapNone/>
                      <wp:docPr id="40" name="Picture_409_SpCnt_4"/>
                      <wp:cNvGraphicFramePr/>
                      <a:graphic xmlns:a="http://schemas.openxmlformats.org/drawingml/2006/main">
                        <a:graphicData uri="http://schemas.openxmlformats.org/drawingml/2006/picture">
                          <pic:pic xmlns:pic="http://schemas.openxmlformats.org/drawingml/2006/picture">
                            <pic:nvPicPr>
                              <pic:cNvPr id="40" name="Picture_409_SpCnt_4"/>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9817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0</wp:posOffset>
                      </wp:positionH>
                      <wp:positionV relativeFrom="paragraph">
                        <wp:posOffset>0</wp:posOffset>
                      </wp:positionV>
                      <wp:extent cx="57150" cy="147320"/>
                      <wp:effectExtent l="0" t="0" r="0" b="0"/>
                      <wp:wrapNone/>
                      <wp:docPr id="41" name="Picture_408_SpCnt_3"/>
                      <wp:cNvGraphicFramePr/>
                      <a:graphic xmlns:a="http://schemas.openxmlformats.org/drawingml/2006/main">
                        <a:graphicData uri="http://schemas.openxmlformats.org/drawingml/2006/picture">
                          <pic:pic xmlns:pic="http://schemas.openxmlformats.org/drawingml/2006/picture">
                            <pic:nvPicPr>
                              <pic:cNvPr id="41" name="Picture_408_SpCnt_3"/>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9920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0</wp:posOffset>
                      </wp:positionH>
                      <wp:positionV relativeFrom="paragraph">
                        <wp:posOffset>0</wp:posOffset>
                      </wp:positionV>
                      <wp:extent cx="57150" cy="147955"/>
                      <wp:effectExtent l="0" t="0" r="0" b="0"/>
                      <wp:wrapNone/>
                      <wp:docPr id="42" name="Picture_408_SpCnt_4"/>
                      <wp:cNvGraphicFramePr/>
                      <a:graphic xmlns:a="http://schemas.openxmlformats.org/drawingml/2006/main">
                        <a:graphicData uri="http://schemas.openxmlformats.org/drawingml/2006/picture">
                          <pic:pic xmlns:pic="http://schemas.openxmlformats.org/drawingml/2006/picture">
                            <pic:nvPicPr>
                              <pic:cNvPr id="42" name="Picture_408_SpCnt_4"/>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70022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0</wp:posOffset>
                      </wp:positionH>
                      <wp:positionV relativeFrom="paragraph">
                        <wp:posOffset>0</wp:posOffset>
                      </wp:positionV>
                      <wp:extent cx="57150" cy="147320"/>
                      <wp:effectExtent l="0" t="0" r="0" b="0"/>
                      <wp:wrapNone/>
                      <wp:docPr id="43" name="Picture_407_SpCnt_3"/>
                      <wp:cNvGraphicFramePr/>
                      <a:graphic xmlns:a="http://schemas.openxmlformats.org/drawingml/2006/main">
                        <a:graphicData uri="http://schemas.openxmlformats.org/drawingml/2006/picture">
                          <pic:pic xmlns:pic="http://schemas.openxmlformats.org/drawingml/2006/picture">
                            <pic:nvPicPr>
                              <pic:cNvPr id="43" name="Picture_407_SpCnt_3"/>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70124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0</wp:posOffset>
                      </wp:positionH>
                      <wp:positionV relativeFrom="paragraph">
                        <wp:posOffset>0</wp:posOffset>
                      </wp:positionV>
                      <wp:extent cx="57150" cy="147320"/>
                      <wp:effectExtent l="0" t="0" r="0" b="0"/>
                      <wp:wrapNone/>
                      <wp:docPr id="44" name="Picture_248_SpCnt_3"/>
                      <wp:cNvGraphicFramePr/>
                      <a:graphic xmlns:a="http://schemas.openxmlformats.org/drawingml/2006/main">
                        <a:graphicData uri="http://schemas.openxmlformats.org/drawingml/2006/picture">
                          <pic:pic xmlns:pic="http://schemas.openxmlformats.org/drawingml/2006/picture">
                            <pic:nvPicPr>
                              <pic:cNvPr id="44" name="Picture_248_SpCnt_3"/>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70227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0</wp:posOffset>
                      </wp:positionH>
                      <wp:positionV relativeFrom="paragraph">
                        <wp:posOffset>0</wp:posOffset>
                      </wp:positionV>
                      <wp:extent cx="57150" cy="152400"/>
                      <wp:effectExtent l="0" t="0" r="0" b="0"/>
                      <wp:wrapNone/>
                      <wp:docPr id="45" name="Picture_200_SpCnt_4"/>
                      <wp:cNvGraphicFramePr/>
                      <a:graphic xmlns:a="http://schemas.openxmlformats.org/drawingml/2006/main">
                        <a:graphicData uri="http://schemas.openxmlformats.org/drawingml/2006/picture">
                          <pic:pic xmlns:pic="http://schemas.openxmlformats.org/drawingml/2006/picture">
                            <pic:nvPicPr>
                              <pic:cNvPr id="45" name="Picture_200_SpCnt_4"/>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703296;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0</wp:posOffset>
                      </wp:positionH>
                      <wp:positionV relativeFrom="paragraph">
                        <wp:posOffset>0</wp:posOffset>
                      </wp:positionV>
                      <wp:extent cx="57150" cy="147955"/>
                      <wp:effectExtent l="0" t="0" r="0" b="0"/>
                      <wp:wrapNone/>
                      <wp:docPr id="46" name="Picture_407_SpCnt_4"/>
                      <wp:cNvGraphicFramePr/>
                      <a:graphic xmlns:a="http://schemas.openxmlformats.org/drawingml/2006/main">
                        <a:graphicData uri="http://schemas.openxmlformats.org/drawingml/2006/picture">
                          <pic:pic xmlns:pic="http://schemas.openxmlformats.org/drawingml/2006/picture">
                            <pic:nvPicPr>
                              <pic:cNvPr id="46" name="Picture_407_SpCnt_4"/>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70432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0</wp:posOffset>
                      </wp:positionH>
                      <wp:positionV relativeFrom="paragraph">
                        <wp:posOffset>0</wp:posOffset>
                      </wp:positionV>
                      <wp:extent cx="57150" cy="147320"/>
                      <wp:effectExtent l="0" t="0" r="0" b="0"/>
                      <wp:wrapNone/>
                      <wp:docPr id="47" name="Picture_247_SpCnt_3"/>
                      <wp:cNvGraphicFramePr/>
                      <a:graphic xmlns:a="http://schemas.openxmlformats.org/drawingml/2006/main">
                        <a:graphicData uri="http://schemas.openxmlformats.org/drawingml/2006/picture">
                          <pic:pic xmlns:pic="http://schemas.openxmlformats.org/drawingml/2006/picture">
                            <pic:nvPicPr>
                              <pic:cNvPr id="47" name="Picture_247_SpCnt_3"/>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70534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0</wp:posOffset>
                      </wp:positionH>
                      <wp:positionV relativeFrom="paragraph">
                        <wp:posOffset>0</wp:posOffset>
                      </wp:positionV>
                      <wp:extent cx="57150" cy="147320"/>
                      <wp:effectExtent l="0" t="0" r="0" b="0"/>
                      <wp:wrapNone/>
                      <wp:docPr id="48" name="Picture_246_SpCnt_2"/>
                      <wp:cNvGraphicFramePr/>
                      <a:graphic xmlns:a="http://schemas.openxmlformats.org/drawingml/2006/main">
                        <a:graphicData uri="http://schemas.openxmlformats.org/drawingml/2006/picture">
                          <pic:pic xmlns:pic="http://schemas.openxmlformats.org/drawingml/2006/picture">
                            <pic:nvPicPr>
                              <pic:cNvPr id="48" name="Picture_246_SpCnt_2"/>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70636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column">
                        <wp:posOffset>0</wp:posOffset>
                      </wp:positionH>
                      <wp:positionV relativeFrom="paragraph">
                        <wp:posOffset>0</wp:posOffset>
                      </wp:positionV>
                      <wp:extent cx="57150" cy="147955"/>
                      <wp:effectExtent l="0" t="0" r="0" b="0"/>
                      <wp:wrapNone/>
                      <wp:docPr id="49" name="Picture_248_SpCnt_4"/>
                      <wp:cNvGraphicFramePr/>
                      <a:graphic xmlns:a="http://schemas.openxmlformats.org/drawingml/2006/main">
                        <a:graphicData uri="http://schemas.openxmlformats.org/drawingml/2006/picture">
                          <pic:pic xmlns:pic="http://schemas.openxmlformats.org/drawingml/2006/picture">
                            <pic:nvPicPr>
                              <pic:cNvPr id="49" name="Picture_248_SpCnt_4"/>
                              <pic:cNvPicPr/>
                              <pic:nvPr/>
                            </pic:nvPicPr>
                            <pic:blipFill>
                              <a:blip r:embed="rId12"/>
                              <a:stretch/>
                            </pic:blipFill>
                            <pic:spPr bwMode="auto">
                              <a:xfrm>
                                <a:off x="0" y="0"/>
                                <a:ext cx="57150" cy="14795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70739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0</wp:posOffset>
                      </wp:positionH>
                      <wp:positionV relativeFrom="paragraph">
                        <wp:posOffset>0</wp:posOffset>
                      </wp:positionV>
                      <wp:extent cx="57150" cy="147320"/>
                      <wp:effectExtent l="0" t="0" r="0" b="0"/>
                      <wp:wrapNone/>
                      <wp:docPr id="50" name="Picture_245_SpCnt_2"/>
                      <wp:cNvGraphicFramePr/>
                      <a:graphic xmlns:a="http://schemas.openxmlformats.org/drawingml/2006/main">
                        <a:graphicData uri="http://schemas.openxmlformats.org/drawingml/2006/picture">
                          <pic:pic xmlns:pic="http://schemas.openxmlformats.org/drawingml/2006/picture">
                            <pic:nvPicPr>
                              <pic:cNvPr id="50" name="Picture_245_SpCnt_2"/>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70841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0</wp:posOffset>
                      </wp:positionH>
                      <wp:positionV relativeFrom="paragraph">
                        <wp:posOffset>0</wp:posOffset>
                      </wp:positionV>
                      <wp:extent cx="57150" cy="147320"/>
                      <wp:effectExtent l="0" t="0" r="0" b="0"/>
                      <wp:wrapNone/>
                      <wp:docPr id="51" name="Picture_205_SpCnt_3"/>
                      <wp:cNvGraphicFramePr/>
                      <a:graphic xmlns:a="http://schemas.openxmlformats.org/drawingml/2006/main">
                        <a:graphicData uri="http://schemas.openxmlformats.org/drawingml/2006/picture">
                          <pic:pic xmlns:pic="http://schemas.openxmlformats.org/drawingml/2006/picture">
                            <pic:nvPicPr>
                              <pic:cNvPr id="51" name="Picture_205_SpCnt_3"/>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70944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column">
                        <wp:posOffset>0</wp:posOffset>
                      </wp:positionH>
                      <wp:positionV relativeFrom="paragraph">
                        <wp:posOffset>0</wp:posOffset>
                      </wp:positionV>
                      <wp:extent cx="57150" cy="152400"/>
                      <wp:effectExtent l="0" t="0" r="0" b="0"/>
                      <wp:wrapNone/>
                      <wp:docPr id="52" name="Picture_246_SpCnt_3"/>
                      <wp:cNvGraphicFramePr/>
                      <a:graphic xmlns:a="http://schemas.openxmlformats.org/drawingml/2006/main">
                        <a:graphicData uri="http://schemas.openxmlformats.org/drawingml/2006/picture">
                          <pic:pic xmlns:pic="http://schemas.openxmlformats.org/drawingml/2006/picture">
                            <pic:nvPicPr>
                              <pic:cNvPr id="52" name="Picture_246_SpCnt_3"/>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710464;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column">
                        <wp:posOffset>0</wp:posOffset>
                      </wp:positionH>
                      <wp:positionV relativeFrom="paragraph">
                        <wp:posOffset>0</wp:posOffset>
                      </wp:positionV>
                      <wp:extent cx="57150" cy="152400"/>
                      <wp:effectExtent l="0" t="0" r="0" b="0"/>
                      <wp:wrapNone/>
                      <wp:docPr id="53" name="Picture_197_SpCnt_4"/>
                      <wp:cNvGraphicFramePr/>
                      <a:graphic xmlns:a="http://schemas.openxmlformats.org/drawingml/2006/main">
                        <a:graphicData uri="http://schemas.openxmlformats.org/drawingml/2006/picture">
                          <pic:pic xmlns:pic="http://schemas.openxmlformats.org/drawingml/2006/picture">
                            <pic:nvPicPr>
                              <pic:cNvPr id="53" name="Picture_197_SpCnt_4"/>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71148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2512" behindDoc="0" locked="0" layoutInCell="1" allowOverlap="1">
                      <wp:simplePos x="0" y="0"/>
                      <wp:positionH relativeFrom="column">
                        <wp:posOffset>0</wp:posOffset>
                      </wp:positionH>
                      <wp:positionV relativeFrom="paragraph">
                        <wp:posOffset>0</wp:posOffset>
                      </wp:positionV>
                      <wp:extent cx="57150" cy="147955"/>
                      <wp:effectExtent l="0" t="0" r="0" b="0"/>
                      <wp:wrapNone/>
                      <wp:docPr id="54" name="Picture_247_SpCnt_4"/>
                      <wp:cNvGraphicFramePr/>
                      <a:graphic xmlns:a="http://schemas.openxmlformats.org/drawingml/2006/main">
                        <a:graphicData uri="http://schemas.openxmlformats.org/drawingml/2006/picture">
                          <pic:pic xmlns:pic="http://schemas.openxmlformats.org/drawingml/2006/picture">
                            <pic:nvPicPr>
                              <pic:cNvPr id="54" name="Picture_247_SpCnt_4"/>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71251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3536" behindDoc="0" locked="0" layoutInCell="1" allowOverlap="1">
                      <wp:simplePos x="0" y="0"/>
                      <wp:positionH relativeFrom="column">
                        <wp:posOffset>0</wp:posOffset>
                      </wp:positionH>
                      <wp:positionV relativeFrom="paragraph">
                        <wp:posOffset>0</wp:posOffset>
                      </wp:positionV>
                      <wp:extent cx="57150" cy="147320"/>
                      <wp:effectExtent l="0" t="0" r="0" b="0"/>
                      <wp:wrapNone/>
                      <wp:docPr id="55" name="Picture_204_SpCnt_5"/>
                      <wp:cNvGraphicFramePr/>
                      <a:graphic xmlns:a="http://schemas.openxmlformats.org/drawingml/2006/main">
                        <a:graphicData uri="http://schemas.openxmlformats.org/drawingml/2006/picture">
                          <pic:pic xmlns:pic="http://schemas.openxmlformats.org/drawingml/2006/picture">
                            <pic:nvPicPr>
                              <pic:cNvPr id="55" name="Picture_204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71353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4560" behindDoc="0" locked="0" layoutInCell="1" allowOverlap="1">
                      <wp:simplePos x="0" y="0"/>
                      <wp:positionH relativeFrom="column">
                        <wp:posOffset>0</wp:posOffset>
                      </wp:positionH>
                      <wp:positionV relativeFrom="paragraph">
                        <wp:posOffset>0</wp:posOffset>
                      </wp:positionV>
                      <wp:extent cx="57150" cy="147320"/>
                      <wp:effectExtent l="0" t="0" r="0" b="0"/>
                      <wp:wrapNone/>
                      <wp:docPr id="56" name="Picture_200_SpCnt_5"/>
                      <wp:cNvGraphicFramePr/>
                      <a:graphic xmlns:a="http://schemas.openxmlformats.org/drawingml/2006/main">
                        <a:graphicData uri="http://schemas.openxmlformats.org/drawingml/2006/picture">
                          <pic:pic xmlns:pic="http://schemas.openxmlformats.org/drawingml/2006/picture">
                            <pic:nvPicPr>
                              <pic:cNvPr id="56" name="Picture_200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71456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5584" behindDoc="0" locked="0" layoutInCell="1" allowOverlap="1">
                      <wp:simplePos x="0" y="0"/>
                      <wp:positionH relativeFrom="column">
                        <wp:posOffset>0</wp:posOffset>
                      </wp:positionH>
                      <wp:positionV relativeFrom="paragraph">
                        <wp:posOffset>0</wp:posOffset>
                      </wp:positionV>
                      <wp:extent cx="57150" cy="147955"/>
                      <wp:effectExtent l="0" t="0" r="0" b="0"/>
                      <wp:wrapNone/>
                      <wp:docPr id="57" name="Picture_246_SpCnt_4"/>
                      <wp:cNvGraphicFramePr/>
                      <a:graphic xmlns:a="http://schemas.openxmlformats.org/drawingml/2006/main">
                        <a:graphicData uri="http://schemas.openxmlformats.org/drawingml/2006/picture">
                          <pic:pic xmlns:pic="http://schemas.openxmlformats.org/drawingml/2006/picture">
                            <pic:nvPicPr>
                              <pic:cNvPr id="57" name="Picture_246_SpCnt_4"/>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71558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6608" behindDoc="0" locked="0" layoutInCell="1" allowOverlap="1">
                      <wp:simplePos x="0" y="0"/>
                      <wp:positionH relativeFrom="column">
                        <wp:posOffset>0</wp:posOffset>
                      </wp:positionH>
                      <wp:positionV relativeFrom="paragraph">
                        <wp:posOffset>0</wp:posOffset>
                      </wp:positionV>
                      <wp:extent cx="57150" cy="147320"/>
                      <wp:effectExtent l="0" t="0" r="0" b="0"/>
                      <wp:wrapNone/>
                      <wp:docPr id="58" name="Picture_197_SpCnt_5"/>
                      <wp:cNvGraphicFramePr/>
                      <a:graphic xmlns:a="http://schemas.openxmlformats.org/drawingml/2006/main">
                        <a:graphicData uri="http://schemas.openxmlformats.org/drawingml/2006/picture">
                          <pic:pic xmlns:pic="http://schemas.openxmlformats.org/drawingml/2006/picture">
                            <pic:nvPicPr>
                              <pic:cNvPr id="58" name="Picture_197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71660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7632" behindDoc="0" locked="0" layoutInCell="1" allowOverlap="1">
                      <wp:simplePos x="0" y="0"/>
                      <wp:positionH relativeFrom="column">
                        <wp:posOffset>0</wp:posOffset>
                      </wp:positionH>
                      <wp:positionV relativeFrom="paragraph">
                        <wp:posOffset>0</wp:posOffset>
                      </wp:positionV>
                      <wp:extent cx="57150" cy="147320"/>
                      <wp:effectExtent l="0" t="0" r="0" b="0"/>
                      <wp:wrapNone/>
                      <wp:docPr id="59" name="Picture_205_SpCnt_4"/>
                      <wp:cNvGraphicFramePr/>
                      <a:graphic xmlns:a="http://schemas.openxmlformats.org/drawingml/2006/main">
                        <a:graphicData uri="http://schemas.openxmlformats.org/drawingml/2006/picture">
                          <pic:pic xmlns:pic="http://schemas.openxmlformats.org/drawingml/2006/picture">
                            <pic:nvPicPr>
                              <pic:cNvPr id="59" name="Picture_205_SpCnt_4"/>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71763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8656" behindDoc="0" locked="0" layoutInCell="1" allowOverlap="1">
                      <wp:simplePos x="0" y="0"/>
                      <wp:positionH relativeFrom="column">
                        <wp:posOffset>0</wp:posOffset>
                      </wp:positionH>
                      <wp:positionV relativeFrom="paragraph">
                        <wp:posOffset>0</wp:posOffset>
                      </wp:positionV>
                      <wp:extent cx="57150" cy="152400"/>
                      <wp:effectExtent l="0" t="0" r="0" b="0"/>
                      <wp:wrapNone/>
                      <wp:docPr id="60" name="Picture_205_SpCnt_5"/>
                      <wp:cNvGraphicFramePr/>
                      <a:graphic xmlns:a="http://schemas.openxmlformats.org/drawingml/2006/main">
                        <a:graphicData uri="http://schemas.openxmlformats.org/drawingml/2006/picture">
                          <pic:pic xmlns:pic="http://schemas.openxmlformats.org/drawingml/2006/picture">
                            <pic:nvPicPr>
                              <pic:cNvPr id="60" name="Picture_205_SpCnt_5"/>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718656;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9680" behindDoc="0" locked="0" layoutInCell="1" allowOverlap="1">
                      <wp:simplePos x="0" y="0"/>
                      <wp:positionH relativeFrom="column">
                        <wp:posOffset>0</wp:posOffset>
                      </wp:positionH>
                      <wp:positionV relativeFrom="paragraph">
                        <wp:posOffset>0</wp:posOffset>
                      </wp:positionV>
                      <wp:extent cx="57150" cy="147955"/>
                      <wp:effectExtent l="0" t="0" r="0" b="0"/>
                      <wp:wrapNone/>
                      <wp:docPr id="61" name="Picture_245_SpCnt_3"/>
                      <wp:cNvGraphicFramePr/>
                      <a:graphic xmlns:a="http://schemas.openxmlformats.org/drawingml/2006/main">
                        <a:graphicData uri="http://schemas.openxmlformats.org/drawingml/2006/picture">
                          <pic:pic xmlns:pic="http://schemas.openxmlformats.org/drawingml/2006/picture">
                            <pic:nvPicPr>
                              <pic:cNvPr id="61" name="Picture_245_SpCnt_3"/>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71968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0704" behindDoc="0" locked="0" layoutInCell="1" allowOverlap="1">
                      <wp:simplePos x="0" y="0"/>
                      <wp:positionH relativeFrom="column">
                        <wp:posOffset>0</wp:posOffset>
                      </wp:positionH>
                      <wp:positionV relativeFrom="paragraph">
                        <wp:posOffset>0</wp:posOffset>
                      </wp:positionV>
                      <wp:extent cx="57150" cy="147320"/>
                      <wp:effectExtent l="0" t="0" r="0" b="0"/>
                      <wp:wrapNone/>
                      <wp:docPr id="62" name="Picture_204_SpCnt_6"/>
                      <wp:cNvGraphicFramePr/>
                      <a:graphic xmlns:a="http://schemas.openxmlformats.org/drawingml/2006/main">
                        <a:graphicData uri="http://schemas.openxmlformats.org/drawingml/2006/picture">
                          <pic:pic xmlns:pic="http://schemas.openxmlformats.org/drawingml/2006/picture">
                            <pic:nvPicPr>
                              <pic:cNvPr id="62" name="Picture_204_SpCnt_6"/>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72070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1728" behindDoc="0" locked="0" layoutInCell="1" allowOverlap="1">
                      <wp:simplePos x="0" y="0"/>
                      <wp:positionH relativeFrom="column">
                        <wp:posOffset>0</wp:posOffset>
                      </wp:positionH>
                      <wp:positionV relativeFrom="paragraph">
                        <wp:posOffset>0</wp:posOffset>
                      </wp:positionV>
                      <wp:extent cx="57150" cy="147320"/>
                      <wp:effectExtent l="0" t="0" r="0" b="0"/>
                      <wp:wrapNone/>
                      <wp:docPr id="63" name="Picture_200_SpCnt_6"/>
                      <wp:cNvGraphicFramePr/>
                      <a:graphic xmlns:a="http://schemas.openxmlformats.org/drawingml/2006/main">
                        <a:graphicData uri="http://schemas.openxmlformats.org/drawingml/2006/picture">
                          <pic:pic xmlns:pic="http://schemas.openxmlformats.org/drawingml/2006/picture">
                            <pic:nvPicPr>
                              <pic:cNvPr id="63" name="Picture_200_SpCnt_6"/>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72172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2752" behindDoc="0" locked="0" layoutInCell="1" allowOverlap="1">
                      <wp:simplePos x="0" y="0"/>
                      <wp:positionH relativeFrom="column">
                        <wp:posOffset>0</wp:posOffset>
                      </wp:positionH>
                      <wp:positionV relativeFrom="paragraph">
                        <wp:posOffset>0</wp:posOffset>
                      </wp:positionV>
                      <wp:extent cx="57150" cy="147955"/>
                      <wp:effectExtent l="0" t="0" r="0" b="0"/>
                      <wp:wrapNone/>
                      <wp:docPr id="64" name="Picture_205_SpCnt_6"/>
                      <wp:cNvGraphicFramePr/>
                      <a:graphic xmlns:a="http://schemas.openxmlformats.org/drawingml/2006/main">
                        <a:graphicData uri="http://schemas.openxmlformats.org/drawingml/2006/picture">
                          <pic:pic xmlns:pic="http://schemas.openxmlformats.org/drawingml/2006/picture">
                            <pic:nvPicPr>
                              <pic:cNvPr id="64" name="Picture_205_SpCnt_6"/>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72275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3776" behindDoc="0" locked="0" layoutInCell="1" allowOverlap="1">
                      <wp:simplePos x="0" y="0"/>
                      <wp:positionH relativeFrom="column">
                        <wp:posOffset>0</wp:posOffset>
                      </wp:positionH>
                      <wp:positionV relativeFrom="paragraph">
                        <wp:posOffset>0</wp:posOffset>
                      </wp:positionV>
                      <wp:extent cx="57150" cy="147320"/>
                      <wp:effectExtent l="0" t="0" r="0" b="0"/>
                      <wp:wrapNone/>
                      <wp:docPr id="65" name="Picture_197_SpCnt_6"/>
                      <wp:cNvGraphicFramePr/>
                      <a:graphic xmlns:a="http://schemas.openxmlformats.org/drawingml/2006/main">
                        <a:graphicData uri="http://schemas.openxmlformats.org/drawingml/2006/picture">
                          <pic:pic xmlns:pic="http://schemas.openxmlformats.org/drawingml/2006/picture">
                            <pic:nvPicPr>
                              <pic:cNvPr id="65" name="Picture_197_SpCnt_6"/>
                              <pic:cNvPicPr/>
                              <pic:nvPr/>
                            </pic:nvPicPr>
                            <pic:blipFill>
                              <a:blip r:embed="rId12"/>
                              <a:stretch/>
                            </pic:blipFill>
                            <pic:spPr bwMode="auto">
                              <a:xfrm>
                                <a:off x="0" y="0"/>
                                <a:ext cx="57150" cy="14732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72377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4800" behindDoc="0" locked="0" layoutInCell="1" allowOverlap="1">
                      <wp:simplePos x="0" y="0"/>
                      <wp:positionH relativeFrom="column">
                        <wp:posOffset>0</wp:posOffset>
                      </wp:positionH>
                      <wp:positionV relativeFrom="paragraph">
                        <wp:posOffset>0</wp:posOffset>
                      </wp:positionV>
                      <wp:extent cx="57150" cy="147320"/>
                      <wp:effectExtent l="0" t="0" r="0" b="0"/>
                      <wp:wrapNone/>
                      <wp:docPr id="66" name="Picture_410_SpCnt_2"/>
                      <wp:cNvGraphicFramePr/>
                      <a:graphic xmlns:a="http://schemas.openxmlformats.org/drawingml/2006/main">
                        <a:graphicData uri="http://schemas.openxmlformats.org/drawingml/2006/picture">
                          <pic:pic xmlns:pic="http://schemas.openxmlformats.org/drawingml/2006/picture">
                            <pic:nvPicPr>
                              <pic:cNvPr id="66" name="Picture_410_SpCnt_2"/>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72480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5824" behindDoc="0" locked="0" layoutInCell="1" allowOverlap="1">
                      <wp:simplePos x="0" y="0"/>
                      <wp:positionH relativeFrom="column">
                        <wp:posOffset>0</wp:posOffset>
                      </wp:positionH>
                      <wp:positionV relativeFrom="paragraph">
                        <wp:posOffset>0</wp:posOffset>
                      </wp:positionV>
                      <wp:extent cx="57150" cy="152400"/>
                      <wp:effectExtent l="0" t="0" r="0" b="0"/>
                      <wp:wrapNone/>
                      <wp:docPr id="67" name="Picture_205_SpCnt_7"/>
                      <wp:cNvGraphicFramePr/>
                      <a:graphic xmlns:a="http://schemas.openxmlformats.org/drawingml/2006/main">
                        <a:graphicData uri="http://schemas.openxmlformats.org/drawingml/2006/picture">
                          <pic:pic xmlns:pic="http://schemas.openxmlformats.org/drawingml/2006/picture">
                            <pic:nvPicPr>
                              <pic:cNvPr id="67" name="Picture_205_SpCnt_7"/>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725824;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6848" behindDoc="0" locked="0" layoutInCell="1" allowOverlap="1">
                      <wp:simplePos x="0" y="0"/>
                      <wp:positionH relativeFrom="column">
                        <wp:posOffset>0</wp:posOffset>
                      </wp:positionH>
                      <wp:positionV relativeFrom="paragraph">
                        <wp:posOffset>0</wp:posOffset>
                      </wp:positionV>
                      <wp:extent cx="57150" cy="152400"/>
                      <wp:effectExtent l="0" t="0" r="0" b="0"/>
                      <wp:wrapNone/>
                      <wp:docPr id="68" name="Picture_245_SpCnt_4"/>
                      <wp:cNvGraphicFramePr/>
                      <a:graphic xmlns:a="http://schemas.openxmlformats.org/drawingml/2006/main">
                        <a:graphicData uri="http://schemas.openxmlformats.org/drawingml/2006/picture">
                          <pic:pic xmlns:pic="http://schemas.openxmlformats.org/drawingml/2006/picture">
                            <pic:nvPicPr>
                              <pic:cNvPr id="68" name="Picture_245_SpCnt_4"/>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72684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7872" behindDoc="0" locked="0" layoutInCell="1" allowOverlap="1">
                      <wp:simplePos x="0" y="0"/>
                      <wp:positionH relativeFrom="column">
                        <wp:posOffset>0</wp:posOffset>
                      </wp:positionH>
                      <wp:positionV relativeFrom="paragraph">
                        <wp:posOffset>0</wp:posOffset>
                      </wp:positionV>
                      <wp:extent cx="57150" cy="152400"/>
                      <wp:effectExtent l="0" t="0" r="0" b="0"/>
                      <wp:wrapNone/>
                      <wp:docPr id="69" name="Picture_204_SpCnt_7"/>
                      <wp:cNvGraphicFramePr/>
                      <a:graphic xmlns:a="http://schemas.openxmlformats.org/drawingml/2006/main">
                        <a:graphicData uri="http://schemas.openxmlformats.org/drawingml/2006/picture">
                          <pic:pic xmlns:pic="http://schemas.openxmlformats.org/drawingml/2006/picture">
                            <pic:nvPicPr>
                              <pic:cNvPr id="69" name="Picture_204_SpCnt_7"/>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727872;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8896" behindDoc="0" locked="0" layoutInCell="1" allowOverlap="1">
                      <wp:simplePos x="0" y="0"/>
                      <wp:positionH relativeFrom="column">
                        <wp:posOffset>0</wp:posOffset>
                      </wp:positionH>
                      <wp:positionV relativeFrom="paragraph">
                        <wp:posOffset>0</wp:posOffset>
                      </wp:positionV>
                      <wp:extent cx="57150" cy="147955"/>
                      <wp:effectExtent l="0" t="0" r="0" b="0"/>
                      <wp:wrapNone/>
                      <wp:docPr id="70" name="Picture_204_SpCnt_8"/>
                      <wp:cNvGraphicFramePr/>
                      <a:graphic xmlns:a="http://schemas.openxmlformats.org/drawingml/2006/main">
                        <a:graphicData uri="http://schemas.openxmlformats.org/drawingml/2006/picture">
                          <pic:pic xmlns:pic="http://schemas.openxmlformats.org/drawingml/2006/picture">
                            <pic:nvPicPr>
                              <pic:cNvPr id="70" name="Picture_204_SpCnt_8"/>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72889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9920" behindDoc="0" locked="0" layoutInCell="1" allowOverlap="1">
                      <wp:simplePos x="0" y="0"/>
                      <wp:positionH relativeFrom="column">
                        <wp:posOffset>0</wp:posOffset>
                      </wp:positionH>
                      <wp:positionV relativeFrom="paragraph">
                        <wp:posOffset>0</wp:posOffset>
                      </wp:positionV>
                      <wp:extent cx="57150" cy="147320"/>
                      <wp:effectExtent l="0" t="0" r="0" b="0"/>
                      <wp:wrapNone/>
                      <wp:docPr id="71" name="Picture_409_SpCnt_5"/>
                      <wp:cNvGraphicFramePr/>
                      <a:graphic xmlns:a="http://schemas.openxmlformats.org/drawingml/2006/main">
                        <a:graphicData uri="http://schemas.openxmlformats.org/drawingml/2006/picture">
                          <pic:pic xmlns:pic="http://schemas.openxmlformats.org/drawingml/2006/picture">
                            <pic:nvPicPr>
                              <pic:cNvPr id="71" name="Picture_409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72992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0944" behindDoc="0" locked="0" layoutInCell="1" allowOverlap="1">
                      <wp:simplePos x="0" y="0"/>
                      <wp:positionH relativeFrom="column">
                        <wp:posOffset>0</wp:posOffset>
                      </wp:positionH>
                      <wp:positionV relativeFrom="paragraph">
                        <wp:posOffset>0</wp:posOffset>
                      </wp:positionV>
                      <wp:extent cx="57150" cy="147320"/>
                      <wp:effectExtent l="0" t="0" r="0" b="0"/>
                      <wp:wrapNone/>
                      <wp:docPr id="72" name="Picture_408_SpCnt_5"/>
                      <wp:cNvGraphicFramePr/>
                      <a:graphic xmlns:a="http://schemas.openxmlformats.org/drawingml/2006/main">
                        <a:graphicData uri="http://schemas.openxmlformats.org/drawingml/2006/picture">
                          <pic:pic xmlns:pic="http://schemas.openxmlformats.org/drawingml/2006/picture">
                            <pic:nvPicPr>
                              <pic:cNvPr id="72" name="Picture_408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73094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1968" behindDoc="0" locked="0" layoutInCell="1" allowOverlap="1">
                      <wp:simplePos x="0" y="0"/>
                      <wp:positionH relativeFrom="column">
                        <wp:posOffset>0</wp:posOffset>
                      </wp:positionH>
                      <wp:positionV relativeFrom="paragraph">
                        <wp:posOffset>0</wp:posOffset>
                      </wp:positionV>
                      <wp:extent cx="57150" cy="147955"/>
                      <wp:effectExtent l="0" t="0" r="0" b="0"/>
                      <wp:wrapNone/>
                      <wp:docPr id="73" name="Picture_200_SpCnt_7"/>
                      <wp:cNvGraphicFramePr/>
                      <a:graphic xmlns:a="http://schemas.openxmlformats.org/drawingml/2006/main">
                        <a:graphicData uri="http://schemas.openxmlformats.org/drawingml/2006/picture">
                          <pic:pic xmlns:pic="http://schemas.openxmlformats.org/drawingml/2006/picture">
                            <pic:nvPicPr>
                              <pic:cNvPr id="73" name="Picture_200_SpCnt_7"/>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73196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2992" behindDoc="0" locked="0" layoutInCell="1" allowOverlap="1">
                      <wp:simplePos x="0" y="0"/>
                      <wp:positionH relativeFrom="column">
                        <wp:posOffset>0</wp:posOffset>
                      </wp:positionH>
                      <wp:positionV relativeFrom="paragraph">
                        <wp:posOffset>0</wp:posOffset>
                      </wp:positionV>
                      <wp:extent cx="57150" cy="147320"/>
                      <wp:effectExtent l="0" t="0" r="0" b="0"/>
                      <wp:wrapNone/>
                      <wp:docPr id="74" name="Picture_407_SpCnt_5"/>
                      <wp:cNvGraphicFramePr/>
                      <a:graphic xmlns:a="http://schemas.openxmlformats.org/drawingml/2006/main">
                        <a:graphicData uri="http://schemas.openxmlformats.org/drawingml/2006/picture">
                          <pic:pic xmlns:pic="http://schemas.openxmlformats.org/drawingml/2006/picture">
                            <pic:nvPicPr>
                              <pic:cNvPr id="74" name="Picture_407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73299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4016" behindDoc="0" locked="0" layoutInCell="1" allowOverlap="1">
                      <wp:simplePos x="0" y="0"/>
                      <wp:positionH relativeFrom="column">
                        <wp:posOffset>0</wp:posOffset>
                      </wp:positionH>
                      <wp:positionV relativeFrom="paragraph">
                        <wp:posOffset>0</wp:posOffset>
                      </wp:positionV>
                      <wp:extent cx="57150" cy="147320"/>
                      <wp:effectExtent l="0" t="0" r="0" b="0"/>
                      <wp:wrapNone/>
                      <wp:docPr id="75" name="Picture_248_SpCnt_5"/>
                      <wp:cNvGraphicFramePr/>
                      <a:graphic xmlns:a="http://schemas.openxmlformats.org/drawingml/2006/main">
                        <a:graphicData uri="http://schemas.openxmlformats.org/drawingml/2006/picture">
                          <pic:pic xmlns:pic="http://schemas.openxmlformats.org/drawingml/2006/picture">
                            <pic:nvPicPr>
                              <pic:cNvPr id="75" name="Picture_248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73401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5040" behindDoc="0" locked="0" layoutInCell="1" allowOverlap="1">
                      <wp:simplePos x="0" y="0"/>
                      <wp:positionH relativeFrom="column">
                        <wp:posOffset>0</wp:posOffset>
                      </wp:positionH>
                      <wp:positionV relativeFrom="paragraph">
                        <wp:posOffset>0</wp:posOffset>
                      </wp:positionV>
                      <wp:extent cx="57150" cy="152400"/>
                      <wp:effectExtent l="0" t="0" r="0" b="0"/>
                      <wp:wrapNone/>
                      <wp:docPr id="76" name="Picture_200_SpCnt_8"/>
                      <wp:cNvGraphicFramePr/>
                      <a:graphic xmlns:a="http://schemas.openxmlformats.org/drawingml/2006/main">
                        <a:graphicData uri="http://schemas.openxmlformats.org/drawingml/2006/picture">
                          <pic:pic xmlns:pic="http://schemas.openxmlformats.org/drawingml/2006/picture">
                            <pic:nvPicPr>
                              <pic:cNvPr id="76" name="Picture_200_SpCnt_8"/>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735040;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6064" behindDoc="0" locked="0" layoutInCell="1" allowOverlap="1">
                      <wp:simplePos x="0" y="0"/>
                      <wp:positionH relativeFrom="column">
                        <wp:posOffset>0</wp:posOffset>
                      </wp:positionH>
                      <wp:positionV relativeFrom="paragraph">
                        <wp:posOffset>0</wp:posOffset>
                      </wp:positionV>
                      <wp:extent cx="57150" cy="147955"/>
                      <wp:effectExtent l="0" t="0" r="0" b="0"/>
                      <wp:wrapNone/>
                      <wp:docPr id="77" name="Picture_197_SpCnt_7"/>
                      <wp:cNvGraphicFramePr/>
                      <a:graphic xmlns:a="http://schemas.openxmlformats.org/drawingml/2006/main">
                        <a:graphicData uri="http://schemas.openxmlformats.org/drawingml/2006/picture">
                          <pic:pic xmlns:pic="http://schemas.openxmlformats.org/drawingml/2006/picture">
                            <pic:nvPicPr>
                              <pic:cNvPr id="77" name="Picture_197_SpCnt_7"/>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73606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7088" behindDoc="0" locked="0" layoutInCell="1" allowOverlap="1">
                      <wp:simplePos x="0" y="0"/>
                      <wp:positionH relativeFrom="column">
                        <wp:posOffset>0</wp:posOffset>
                      </wp:positionH>
                      <wp:positionV relativeFrom="paragraph">
                        <wp:posOffset>0</wp:posOffset>
                      </wp:positionV>
                      <wp:extent cx="57150" cy="147320"/>
                      <wp:effectExtent l="0" t="0" r="0" b="0"/>
                      <wp:wrapNone/>
                      <wp:docPr id="78" name="Picture_247_SpCnt_5"/>
                      <wp:cNvGraphicFramePr/>
                      <a:graphic xmlns:a="http://schemas.openxmlformats.org/drawingml/2006/main">
                        <a:graphicData uri="http://schemas.openxmlformats.org/drawingml/2006/picture">
                          <pic:pic xmlns:pic="http://schemas.openxmlformats.org/drawingml/2006/picture">
                            <pic:nvPicPr>
                              <pic:cNvPr id="78" name="Picture_247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73708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8112" behindDoc="0" locked="0" layoutInCell="1" allowOverlap="1">
                      <wp:simplePos x="0" y="0"/>
                      <wp:positionH relativeFrom="column">
                        <wp:posOffset>0</wp:posOffset>
                      </wp:positionH>
                      <wp:positionV relativeFrom="paragraph">
                        <wp:posOffset>0</wp:posOffset>
                      </wp:positionV>
                      <wp:extent cx="57150" cy="147320"/>
                      <wp:effectExtent l="0" t="0" r="0" b="0"/>
                      <wp:wrapNone/>
                      <wp:docPr id="79" name="Picture_246_SpCnt_5"/>
                      <wp:cNvGraphicFramePr/>
                      <a:graphic xmlns:a="http://schemas.openxmlformats.org/drawingml/2006/main">
                        <a:graphicData uri="http://schemas.openxmlformats.org/drawingml/2006/picture">
                          <pic:pic xmlns:pic="http://schemas.openxmlformats.org/drawingml/2006/picture">
                            <pic:nvPicPr>
                              <pic:cNvPr id="79" name="Picture_246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73811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9136" behindDoc="0" locked="0" layoutInCell="1" allowOverlap="1">
                      <wp:simplePos x="0" y="0"/>
                      <wp:positionH relativeFrom="column">
                        <wp:posOffset>0</wp:posOffset>
                      </wp:positionH>
                      <wp:positionV relativeFrom="paragraph">
                        <wp:posOffset>0</wp:posOffset>
                      </wp:positionV>
                      <wp:extent cx="57150" cy="147955"/>
                      <wp:effectExtent l="0" t="0" r="0" b="0"/>
                      <wp:wrapNone/>
                      <wp:docPr id="80" name="Picture_205_SpCnt_8"/>
                      <wp:cNvGraphicFramePr/>
                      <a:graphic xmlns:a="http://schemas.openxmlformats.org/drawingml/2006/main">
                        <a:graphicData uri="http://schemas.openxmlformats.org/drawingml/2006/picture">
                          <pic:pic xmlns:pic="http://schemas.openxmlformats.org/drawingml/2006/picture">
                            <pic:nvPicPr>
                              <pic:cNvPr id="80" name="Picture_205_SpCnt_8"/>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73913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0160" behindDoc="0" locked="0" layoutInCell="1" allowOverlap="1">
                      <wp:simplePos x="0" y="0"/>
                      <wp:positionH relativeFrom="column">
                        <wp:posOffset>0</wp:posOffset>
                      </wp:positionH>
                      <wp:positionV relativeFrom="paragraph">
                        <wp:posOffset>0</wp:posOffset>
                      </wp:positionV>
                      <wp:extent cx="57150" cy="147320"/>
                      <wp:effectExtent l="0" t="0" r="0" b="0"/>
                      <wp:wrapNone/>
                      <wp:docPr id="81" name="Picture_245_SpCnt_5"/>
                      <wp:cNvGraphicFramePr/>
                      <a:graphic xmlns:a="http://schemas.openxmlformats.org/drawingml/2006/main">
                        <a:graphicData uri="http://schemas.openxmlformats.org/drawingml/2006/picture">
                          <pic:pic xmlns:pic="http://schemas.openxmlformats.org/drawingml/2006/picture">
                            <pic:nvPicPr>
                              <pic:cNvPr id="81" name="Picture_245_SpCnt_5"/>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74016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1184" behindDoc="0" locked="0" layoutInCell="1" allowOverlap="1">
                      <wp:simplePos x="0" y="0"/>
                      <wp:positionH relativeFrom="column">
                        <wp:posOffset>0</wp:posOffset>
                      </wp:positionH>
                      <wp:positionV relativeFrom="paragraph">
                        <wp:posOffset>0</wp:posOffset>
                      </wp:positionV>
                      <wp:extent cx="57150" cy="147320"/>
                      <wp:effectExtent l="0" t="0" r="0" b="0"/>
                      <wp:wrapNone/>
                      <wp:docPr id="82" name="Picture_205_SpCnt_9"/>
                      <wp:cNvGraphicFramePr/>
                      <a:graphic xmlns:a="http://schemas.openxmlformats.org/drawingml/2006/main">
                        <a:graphicData uri="http://schemas.openxmlformats.org/drawingml/2006/picture">
                          <pic:pic xmlns:pic="http://schemas.openxmlformats.org/drawingml/2006/picture">
                            <pic:nvPicPr>
                              <pic:cNvPr id="82" name="Picture_205_SpCnt_9"/>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74118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2208" behindDoc="0" locked="0" layoutInCell="1" allowOverlap="1">
                      <wp:simplePos x="0" y="0"/>
                      <wp:positionH relativeFrom="column">
                        <wp:posOffset>0</wp:posOffset>
                      </wp:positionH>
                      <wp:positionV relativeFrom="paragraph">
                        <wp:posOffset>0</wp:posOffset>
                      </wp:positionV>
                      <wp:extent cx="57150" cy="152400"/>
                      <wp:effectExtent l="0" t="0" r="0" b="0"/>
                      <wp:wrapNone/>
                      <wp:docPr id="83" name="Picture_205_SpCnt_10"/>
                      <wp:cNvGraphicFramePr/>
                      <a:graphic xmlns:a="http://schemas.openxmlformats.org/drawingml/2006/main">
                        <a:graphicData uri="http://schemas.openxmlformats.org/drawingml/2006/picture">
                          <pic:pic xmlns:pic="http://schemas.openxmlformats.org/drawingml/2006/picture">
                            <pic:nvPicPr>
                              <pic:cNvPr id="83" name="Picture_205_SpCnt_10"/>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742208;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3232" behindDoc="0" locked="0" layoutInCell="1" allowOverlap="1">
                      <wp:simplePos x="0" y="0"/>
                      <wp:positionH relativeFrom="column">
                        <wp:posOffset>0</wp:posOffset>
                      </wp:positionH>
                      <wp:positionV relativeFrom="paragraph">
                        <wp:posOffset>0</wp:posOffset>
                      </wp:positionV>
                      <wp:extent cx="57150" cy="152400"/>
                      <wp:effectExtent l="0" t="0" r="0" b="0"/>
                      <wp:wrapNone/>
                      <wp:docPr id="84" name="Picture_197_SpCnt_8"/>
                      <wp:cNvGraphicFramePr/>
                      <a:graphic xmlns:a="http://schemas.openxmlformats.org/drawingml/2006/main">
                        <a:graphicData uri="http://schemas.openxmlformats.org/drawingml/2006/picture">
                          <pic:pic xmlns:pic="http://schemas.openxmlformats.org/drawingml/2006/picture">
                            <pic:nvPicPr>
                              <pic:cNvPr id="84" name="Picture_197_SpCnt_8"/>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743232;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4256" behindDoc="0" locked="0" layoutInCell="1" allowOverlap="1">
                      <wp:simplePos x="0" y="0"/>
                      <wp:positionH relativeFrom="column">
                        <wp:posOffset>0</wp:posOffset>
                      </wp:positionH>
                      <wp:positionV relativeFrom="paragraph">
                        <wp:posOffset>0</wp:posOffset>
                      </wp:positionV>
                      <wp:extent cx="57150" cy="147955"/>
                      <wp:effectExtent l="0" t="0" r="0" b="0"/>
                      <wp:wrapNone/>
                      <wp:docPr id="85" name="Picture_204_SpCnt_9"/>
                      <wp:cNvGraphicFramePr/>
                      <a:graphic xmlns:a="http://schemas.openxmlformats.org/drawingml/2006/main">
                        <a:graphicData uri="http://schemas.openxmlformats.org/drawingml/2006/picture">
                          <pic:pic xmlns:pic="http://schemas.openxmlformats.org/drawingml/2006/picture">
                            <pic:nvPicPr>
                              <pic:cNvPr id="85" name="Picture_204_SpCnt_9"/>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74425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5280" behindDoc="0" locked="0" layoutInCell="1" allowOverlap="1">
                      <wp:simplePos x="0" y="0"/>
                      <wp:positionH relativeFrom="column">
                        <wp:posOffset>0</wp:posOffset>
                      </wp:positionH>
                      <wp:positionV relativeFrom="paragraph">
                        <wp:posOffset>0</wp:posOffset>
                      </wp:positionV>
                      <wp:extent cx="57150" cy="147320"/>
                      <wp:effectExtent l="0" t="0" r="0" b="0"/>
                      <wp:wrapNone/>
                      <wp:docPr id="86" name="Picture_204_SpCnt_10"/>
                      <wp:cNvGraphicFramePr/>
                      <a:graphic xmlns:a="http://schemas.openxmlformats.org/drawingml/2006/main">
                        <a:graphicData uri="http://schemas.openxmlformats.org/drawingml/2006/picture">
                          <pic:pic xmlns:pic="http://schemas.openxmlformats.org/drawingml/2006/picture">
                            <pic:nvPicPr>
                              <pic:cNvPr id="86" name="Picture_204_SpCnt_10"/>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74528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6304" behindDoc="0" locked="0" layoutInCell="1" allowOverlap="1">
                      <wp:simplePos x="0" y="0"/>
                      <wp:positionH relativeFrom="column">
                        <wp:posOffset>0</wp:posOffset>
                      </wp:positionH>
                      <wp:positionV relativeFrom="paragraph">
                        <wp:posOffset>0</wp:posOffset>
                      </wp:positionV>
                      <wp:extent cx="57150" cy="147320"/>
                      <wp:effectExtent l="0" t="0" r="0" b="0"/>
                      <wp:wrapNone/>
                      <wp:docPr id="87" name="Picture_200_SpCnt_9"/>
                      <wp:cNvGraphicFramePr/>
                      <a:graphic xmlns:a="http://schemas.openxmlformats.org/drawingml/2006/main">
                        <a:graphicData uri="http://schemas.openxmlformats.org/drawingml/2006/picture">
                          <pic:pic xmlns:pic="http://schemas.openxmlformats.org/drawingml/2006/picture">
                            <pic:nvPicPr>
                              <pic:cNvPr id="87" name="Picture_200_SpCnt_9"/>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74630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7328" behindDoc="0" locked="0" layoutInCell="1" allowOverlap="1">
                      <wp:simplePos x="0" y="0"/>
                      <wp:positionH relativeFrom="column">
                        <wp:posOffset>0</wp:posOffset>
                      </wp:positionH>
                      <wp:positionV relativeFrom="paragraph">
                        <wp:posOffset>0</wp:posOffset>
                      </wp:positionV>
                      <wp:extent cx="57150" cy="147955"/>
                      <wp:effectExtent l="0" t="0" r="0" b="0"/>
                      <wp:wrapNone/>
                      <wp:docPr id="88" name="Picture_200_SpCnt_10"/>
                      <wp:cNvGraphicFramePr/>
                      <a:graphic xmlns:a="http://schemas.openxmlformats.org/drawingml/2006/main">
                        <a:graphicData uri="http://schemas.openxmlformats.org/drawingml/2006/picture">
                          <pic:pic xmlns:pic="http://schemas.openxmlformats.org/drawingml/2006/picture">
                            <pic:nvPicPr>
                              <pic:cNvPr id="88" name="Picture_200_SpCnt_10"/>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74732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8352" behindDoc="0" locked="0" layoutInCell="1" allowOverlap="1">
                      <wp:simplePos x="0" y="0"/>
                      <wp:positionH relativeFrom="column">
                        <wp:posOffset>0</wp:posOffset>
                      </wp:positionH>
                      <wp:positionV relativeFrom="paragraph">
                        <wp:posOffset>0</wp:posOffset>
                      </wp:positionV>
                      <wp:extent cx="57150" cy="147320"/>
                      <wp:effectExtent l="0" t="0" r="0" b="0"/>
                      <wp:wrapNone/>
                      <wp:docPr id="89" name="Picture_197_SpCnt_9"/>
                      <wp:cNvGraphicFramePr/>
                      <a:graphic xmlns:a="http://schemas.openxmlformats.org/drawingml/2006/main">
                        <a:graphicData uri="http://schemas.openxmlformats.org/drawingml/2006/picture">
                          <pic:pic xmlns:pic="http://schemas.openxmlformats.org/drawingml/2006/picture">
                            <pic:nvPicPr>
                              <pic:cNvPr id="89" name="Picture_197_SpCnt_9"/>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74835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9376" behindDoc="0" locked="0" layoutInCell="1" allowOverlap="1">
                      <wp:simplePos x="0" y="0"/>
                      <wp:positionH relativeFrom="column">
                        <wp:posOffset>0</wp:posOffset>
                      </wp:positionH>
                      <wp:positionV relativeFrom="paragraph">
                        <wp:posOffset>0</wp:posOffset>
                      </wp:positionV>
                      <wp:extent cx="57150" cy="147320"/>
                      <wp:effectExtent l="0" t="0" r="0" b="0"/>
                      <wp:wrapNone/>
                      <wp:docPr id="90" name="Picture_205_SpCnt_11"/>
                      <wp:cNvGraphicFramePr/>
                      <a:graphic xmlns:a="http://schemas.openxmlformats.org/drawingml/2006/main">
                        <a:graphicData uri="http://schemas.openxmlformats.org/drawingml/2006/picture">
                          <pic:pic xmlns:pic="http://schemas.openxmlformats.org/drawingml/2006/picture">
                            <pic:nvPicPr>
                              <pic:cNvPr id="90" name="Picture_205_SpCnt_11"/>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749376;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0400" behindDoc="0" locked="0" layoutInCell="1" allowOverlap="1">
                      <wp:simplePos x="0" y="0"/>
                      <wp:positionH relativeFrom="column">
                        <wp:posOffset>0</wp:posOffset>
                      </wp:positionH>
                      <wp:positionV relativeFrom="paragraph">
                        <wp:posOffset>0</wp:posOffset>
                      </wp:positionV>
                      <wp:extent cx="57150" cy="152400"/>
                      <wp:effectExtent l="0" t="0" r="0" b="0"/>
                      <wp:wrapNone/>
                      <wp:docPr id="91" name="Picture_410_SpCnt_3"/>
                      <wp:cNvGraphicFramePr/>
                      <a:graphic xmlns:a="http://schemas.openxmlformats.org/drawingml/2006/main">
                        <a:graphicData uri="http://schemas.openxmlformats.org/drawingml/2006/picture">
                          <pic:pic xmlns:pic="http://schemas.openxmlformats.org/drawingml/2006/picture">
                            <pic:nvPicPr>
                              <pic:cNvPr id="91" name="Picture_410_SpCnt_3"/>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750400;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1424" behindDoc="0" locked="0" layoutInCell="1" allowOverlap="1">
                      <wp:simplePos x="0" y="0"/>
                      <wp:positionH relativeFrom="column">
                        <wp:posOffset>0</wp:posOffset>
                      </wp:positionH>
                      <wp:positionV relativeFrom="paragraph">
                        <wp:posOffset>0</wp:posOffset>
                      </wp:positionV>
                      <wp:extent cx="57150" cy="147955"/>
                      <wp:effectExtent l="0" t="0" r="0" b="0"/>
                      <wp:wrapNone/>
                      <wp:docPr id="92" name="Picture_197_SpCnt_10"/>
                      <wp:cNvGraphicFramePr/>
                      <a:graphic xmlns:a="http://schemas.openxmlformats.org/drawingml/2006/main">
                        <a:graphicData uri="http://schemas.openxmlformats.org/drawingml/2006/picture">
                          <pic:pic xmlns:pic="http://schemas.openxmlformats.org/drawingml/2006/picture">
                            <pic:nvPicPr>
                              <pic:cNvPr id="92" name="Picture_197_SpCnt_10"/>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75142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2448" behindDoc="0" locked="0" layoutInCell="1" allowOverlap="1">
                      <wp:simplePos x="0" y="0"/>
                      <wp:positionH relativeFrom="column">
                        <wp:posOffset>0</wp:posOffset>
                      </wp:positionH>
                      <wp:positionV relativeFrom="paragraph">
                        <wp:posOffset>0</wp:posOffset>
                      </wp:positionV>
                      <wp:extent cx="57150" cy="147320"/>
                      <wp:effectExtent l="0" t="0" r="0" b="0"/>
                      <wp:wrapNone/>
                      <wp:docPr id="93" name="Picture_204_SpCnt_11"/>
                      <wp:cNvGraphicFramePr/>
                      <a:graphic xmlns:a="http://schemas.openxmlformats.org/drawingml/2006/main">
                        <a:graphicData uri="http://schemas.openxmlformats.org/drawingml/2006/picture">
                          <pic:pic xmlns:pic="http://schemas.openxmlformats.org/drawingml/2006/picture">
                            <pic:nvPicPr>
                              <pic:cNvPr id="93" name="Picture_204_SpCnt_11"/>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752448;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3472" behindDoc="0" locked="0" layoutInCell="1" allowOverlap="1">
                      <wp:simplePos x="0" y="0"/>
                      <wp:positionH relativeFrom="column">
                        <wp:posOffset>0</wp:posOffset>
                      </wp:positionH>
                      <wp:positionV relativeFrom="paragraph">
                        <wp:posOffset>0</wp:posOffset>
                      </wp:positionV>
                      <wp:extent cx="57150" cy="147320"/>
                      <wp:effectExtent l="0" t="0" r="0" b="0"/>
                      <wp:wrapNone/>
                      <wp:docPr id="94" name="Picture_200_SpCnt_11"/>
                      <wp:cNvGraphicFramePr/>
                      <a:graphic xmlns:a="http://schemas.openxmlformats.org/drawingml/2006/main">
                        <a:graphicData uri="http://schemas.openxmlformats.org/drawingml/2006/picture">
                          <pic:pic xmlns:pic="http://schemas.openxmlformats.org/drawingml/2006/picture">
                            <pic:nvPicPr>
                              <pic:cNvPr id="94" name="Picture_200_SpCnt_11"/>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753472;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4496" behindDoc="0" locked="0" layoutInCell="1" allowOverlap="1">
                      <wp:simplePos x="0" y="0"/>
                      <wp:positionH relativeFrom="column">
                        <wp:posOffset>0</wp:posOffset>
                      </wp:positionH>
                      <wp:positionV relativeFrom="paragraph">
                        <wp:posOffset>0</wp:posOffset>
                      </wp:positionV>
                      <wp:extent cx="57150" cy="152400"/>
                      <wp:effectExtent l="0" t="0" r="0" b="0"/>
                      <wp:wrapNone/>
                      <wp:docPr id="95" name="Picture_410_SpCnt_4"/>
                      <wp:cNvGraphicFramePr/>
                      <a:graphic xmlns:a="http://schemas.openxmlformats.org/drawingml/2006/main">
                        <a:graphicData uri="http://schemas.openxmlformats.org/drawingml/2006/picture">
                          <pic:pic xmlns:pic="http://schemas.openxmlformats.org/drawingml/2006/picture">
                            <pic:nvPicPr>
                              <pic:cNvPr id="95" name="Picture_410_SpCnt_4"/>
                              <pic:cNvPicPr/>
                              <pic:nvPr/>
                            </pic:nvPicPr>
                            <pic:blipFill>
                              <a:blip r:embed="rId12"/>
                              <a:stretch/>
                            </pic:blipFill>
                            <pic:spPr bwMode="auto">
                              <a:xfrm>
                                <a:off x="0" y="0"/>
                                <a:ext cx="57150" cy="152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754496;o:allowoverlap:true;o:allowincell:true;mso-position-horizontal-relative:text;margin-left:0.0pt;mso-position-horizontal:absolute;mso-position-vertical-relative:text;margin-top:0.0pt;mso-position-vertical:absolute;width:4.5pt;height:12.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5520" behindDoc="0" locked="0" layoutInCell="1" allowOverlap="1">
                      <wp:simplePos x="0" y="0"/>
                      <wp:positionH relativeFrom="column">
                        <wp:posOffset>0</wp:posOffset>
                      </wp:positionH>
                      <wp:positionV relativeFrom="paragraph">
                        <wp:posOffset>0</wp:posOffset>
                      </wp:positionV>
                      <wp:extent cx="57150" cy="147320"/>
                      <wp:effectExtent l="0" t="0" r="0" b="0"/>
                      <wp:wrapNone/>
                      <wp:docPr id="96" name="Picture_197_SpCnt_11"/>
                      <wp:cNvGraphicFramePr/>
                      <a:graphic xmlns:a="http://schemas.openxmlformats.org/drawingml/2006/main">
                        <a:graphicData uri="http://schemas.openxmlformats.org/drawingml/2006/picture">
                          <pic:pic xmlns:pic="http://schemas.openxmlformats.org/drawingml/2006/picture">
                            <pic:nvPicPr>
                              <pic:cNvPr id="96" name="Picture_197_SpCnt_11"/>
                              <pic:cNvPicPr/>
                              <pic:nvPr/>
                            </pic:nvPicPr>
                            <pic:blipFill>
                              <a:blip r:embed="rId12"/>
                              <a:stretch/>
                            </pic:blipFill>
                            <pic:spPr bwMode="auto">
                              <a:xfrm>
                                <a:off x="0" y="0"/>
                                <a:ext cx="57150" cy="147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755520;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6544" behindDoc="0" locked="0" layoutInCell="1" allowOverlap="1">
                      <wp:simplePos x="0" y="0"/>
                      <wp:positionH relativeFrom="column">
                        <wp:posOffset>0</wp:posOffset>
                      </wp:positionH>
                      <wp:positionV relativeFrom="paragraph">
                        <wp:posOffset>0</wp:posOffset>
                      </wp:positionV>
                      <wp:extent cx="57150" cy="147955"/>
                      <wp:effectExtent l="0" t="0" r="0" b="0"/>
                      <wp:wrapNone/>
                      <wp:docPr id="97" name="Picture_410_SpCnt_5"/>
                      <wp:cNvGraphicFramePr/>
                      <a:graphic xmlns:a="http://schemas.openxmlformats.org/drawingml/2006/main">
                        <a:graphicData uri="http://schemas.openxmlformats.org/drawingml/2006/picture">
                          <pic:pic xmlns:pic="http://schemas.openxmlformats.org/drawingml/2006/picture">
                            <pic:nvPicPr>
                              <pic:cNvPr id="97" name="Picture_410_SpCnt_5"/>
                              <pic:cNvPicPr/>
                              <pic:nvPr/>
                            </pic:nvPicPr>
                            <pic:blipFill>
                              <a:blip r:embed="rId12"/>
                              <a:stretch/>
                            </pic:blipFill>
                            <pic:spPr bwMode="auto">
                              <a:xfrm>
                                <a:off x="0" y="0"/>
                                <a:ext cx="57150" cy="14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756544;o:allowoverlap:true;o:allowincell:true;mso-position-horizontal-relative:text;margin-left:0.0pt;mso-position-horizontal:absolute;mso-position-vertical-relative:text;margin-top:0.0pt;mso-position-vertical:absolute;width:4.5pt;height:11.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b/>
                <w:bCs/>
                <w:i w:val="0"/>
                <w:iCs w:val="0"/>
                <w:color w:val="auto"/>
                <w:sz w:val="21"/>
                <w:szCs w:val="21"/>
                <w:u w:val="none"/>
                <w:lang w:val="en-US" w:eastAsia="zh-CN" w:bidi="ar"/>
              </w:rPr>
              <w:t xml:space="preserve">F、理化生虚拟仿真AR创新实验室</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1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F1、教师端AR理化生实验</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1445"/>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F1-01</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AR中学物理实验平台</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numPr>
                <w:ilvl w:val="0"/>
                <w:numId w:val="3"/>
              </w:num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平台功能要求：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#1.平台支持多种终端设备授权接入。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#2.虚拟仿真实验基于Maya3D、3DMax和Unity3D引擎软件制作。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#3.平台实验模拟真实的物理特性，包括部分在现实课堂中无法直接观察和控制的事物和现象，如光、磁、电的粒子特性等，与物理实际规律、特征相匹配。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.平台模块化设计，包含实验教学模块和实验模拟考试模块。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二、实验教学模块功能要求：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#1.辅助线功能：清晰呈现抽象概念，便于理解实验原理。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#2.数据记录功能：点击记录按钮自动记录数据；</w:t>
            </w:r>
            <w:r/>
          </w:p>
          <w:p>
            <w:pPr>
              <w:numPr>
                <w:ilvl w:val="0"/>
                <w:numId w:val="0"/>
              </w:num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#3.背包功能：根据实验情况从背包选择或抓取所需实验器材、实验用品。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三、实验测评考试模块功能要求：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#1.仿真实验操作与物理学业水平考试操作步骤一致，模拟真实实验考试过程。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#2.倒计时功能：模拟考试时间限制，时间结束自动提交成绩（可提前主动提交）。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#3.数据填写功能：根据实验内容填写实验报告。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#4.AI测评功能：根据学生完成实验时的操作快速给出相应的得分，并能直接定位错误步骤和失分点。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#5.AI数据分析功能：包含实验总览、实验统计、综合分析、分值曲线、错误分布等。</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385"/>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F1-02</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中学物理实验课件资源</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1.实验教学课件资源；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提供</w:t>
            </w:r>
            <w:r>
              <w:rPr>
                <w:rFonts w:hint="eastAsia" w:ascii="宋体" w:hAnsi="宋体" w:eastAsia="宋体" w:cs="宋体"/>
                <w:i w:val="0"/>
                <w:iCs w:val="0"/>
                <w:color w:val="auto"/>
                <w:sz w:val="21"/>
                <w:szCs w:val="21"/>
                <w:highlight w:val="none"/>
                <w:u w:val="none"/>
                <w:lang w:val="en-US" w:eastAsia="zh-CN" w:bidi="ar"/>
              </w:rPr>
              <w:t xml:space="preserve">：测量盐水和小石块的密度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探究同种物质的质量与体积的关系</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探究凸透镜成像的规律</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测量斜面的机械效率</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研究定滑轮和动滑轮的特点等</w:t>
            </w:r>
            <w:r>
              <w:rPr>
                <w:rFonts w:hint="eastAsia" w:ascii="宋体" w:hAnsi="宋体" w:cs="宋体"/>
                <w:i w:val="0"/>
                <w:iCs w:val="0"/>
                <w:color w:val="auto"/>
                <w:sz w:val="21"/>
                <w:szCs w:val="21"/>
                <w:highlight w:val="none"/>
                <w:u w:val="none"/>
                <w:lang w:val="en-US" w:eastAsia="zh-CN" w:bidi="ar"/>
              </w:rPr>
              <w:t xml:space="preserve">类似课件</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#2.实验测评考试课件资源；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提供</w:t>
            </w:r>
            <w:r>
              <w:rPr>
                <w:rFonts w:hint="eastAsia" w:ascii="宋体" w:hAnsi="宋体" w:eastAsia="宋体" w:cs="宋体"/>
                <w:i w:val="0"/>
                <w:iCs w:val="0"/>
                <w:color w:val="auto"/>
                <w:sz w:val="21"/>
                <w:szCs w:val="21"/>
                <w:highlight w:val="none"/>
                <w:u w:val="none"/>
                <w:lang w:val="en-US" w:eastAsia="zh-CN" w:bidi="ar"/>
              </w:rPr>
              <w:t xml:space="preserve">：探究水沸腾时温度变化的特点</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探究平面镜成像的特点</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探究电流与电压的关系</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用托盘天平测量物体的质量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用常见温度计测量温度等</w:t>
            </w:r>
            <w:r>
              <w:rPr>
                <w:rFonts w:hint="eastAsia" w:ascii="宋体" w:hAnsi="宋体" w:cs="宋体"/>
                <w:i w:val="0"/>
                <w:iCs w:val="0"/>
                <w:color w:val="auto"/>
                <w:sz w:val="21"/>
                <w:szCs w:val="21"/>
                <w:highlight w:val="none"/>
                <w:u w:val="none"/>
                <w:lang w:val="en-US" w:eastAsia="zh-CN" w:bidi="ar"/>
              </w:rPr>
              <w:t xml:space="preserve">类似课件</w:t>
            </w: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00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F1-03</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AR中学化学实验平台</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一、平台功能要求：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#1.平台支持多种终端设备授权接入。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#2.虚拟仿真实验基于Maya3D、3DMax和Unity3D引擎软件制作。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.平台模块化设计，包含实验教学模块和实验模拟考试模块。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二、实验教学模块功能要求：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#1.背包功能：根据实验情况从背包选择或抓取所需实验器材、实验用品。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#2.微观粒子展现功能：更清晰观察化学反应现象、原理。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三、实验测评考试模块功能要求：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#1.仿真实验操作与化学学业水平考试操作步骤一致，模拟真实实验考试过程。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#2.倒计时功能：模拟考试时间限制，时间结束自动提交成绩（可提前主动提交）。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#3.AI测评功能：根据学生完成实验时的操作快速给出相应的得分，并能直接定位错误步骤和失分点。</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#4.AI数据分析功能：包含实验总览、实验统计、综合分析、分值曲线、错误分布等。</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43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F1-04</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中学化学实验课件资源</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#1.实验教学课件资源；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提供</w:t>
            </w:r>
            <w:r>
              <w:rPr>
                <w:rFonts w:hint="eastAsia" w:ascii="宋体" w:hAnsi="宋体" w:eastAsia="宋体" w:cs="宋体"/>
                <w:i w:val="0"/>
                <w:iCs w:val="0"/>
                <w:color w:val="auto"/>
                <w:sz w:val="21"/>
                <w:szCs w:val="21"/>
                <w:highlight w:val="none"/>
                <w:u w:val="none"/>
                <w:lang w:val="en-US" w:eastAsia="zh-CN" w:bidi="ar"/>
              </w:rPr>
              <w:t xml:space="preserve">：一氧化碳还原氧化铁</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测定空气里氧气的含量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硫分别在空气和氧气里燃烧</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配置一定质量分数的氯化钠溶液</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铁丝在氧气中剧烈燃烧等</w:t>
            </w:r>
            <w:r>
              <w:rPr>
                <w:rFonts w:hint="eastAsia" w:ascii="宋体" w:hAnsi="宋体" w:cs="宋体"/>
                <w:i w:val="0"/>
                <w:iCs w:val="0"/>
                <w:color w:val="auto"/>
                <w:sz w:val="21"/>
                <w:szCs w:val="21"/>
                <w:highlight w:val="none"/>
                <w:u w:val="none"/>
                <w:lang w:val="en-US" w:eastAsia="zh-CN" w:bidi="ar"/>
              </w:rPr>
              <w:t xml:space="preserve">类似课件</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#2.实验测评考试课件资源；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提供</w:t>
            </w:r>
            <w:r>
              <w:rPr>
                <w:rFonts w:hint="eastAsia" w:ascii="宋体" w:hAnsi="宋体" w:eastAsia="宋体" w:cs="宋体"/>
                <w:i w:val="0"/>
                <w:iCs w:val="0"/>
                <w:color w:val="auto"/>
                <w:sz w:val="21"/>
                <w:szCs w:val="21"/>
                <w:highlight w:val="none"/>
                <w:u w:val="none"/>
                <w:lang w:val="en-US" w:eastAsia="zh-CN" w:bidi="ar"/>
              </w:rPr>
              <w:t xml:space="preserve">：粗盐中难溶性杂质的去除</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氧气的实验室制取与性质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二氧化碳的实验室制取与性质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常见金属的物理性质和化学性质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常见酸、碱的化学性质等</w:t>
            </w:r>
            <w:r>
              <w:rPr>
                <w:rFonts w:hint="eastAsia" w:ascii="宋体" w:hAnsi="宋体" w:cs="宋体"/>
                <w:i w:val="0"/>
                <w:iCs w:val="0"/>
                <w:color w:val="auto"/>
                <w:sz w:val="21"/>
                <w:szCs w:val="21"/>
                <w:highlight w:val="none"/>
                <w:u w:val="none"/>
                <w:lang w:val="en-US" w:eastAsia="zh-CN" w:bidi="ar"/>
              </w:rPr>
              <w:t xml:space="preserve">类似课件</w:t>
            </w:r>
            <w:r>
              <w:rPr>
                <w:rFonts w:hint="eastAsia" w:ascii="宋体" w:hAnsi="宋体" w:eastAsia="宋体" w:cs="宋体"/>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61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F1-05</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AR中学生物实验平台</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iCs/>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#1.平台支持多种终端设备授权接入。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#2.虚拟仿真实验基于Maya3D、3DMax和Unity3D引擎软件制作。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.仿真实验操作与生物学业水平考试操作步骤一致，模拟真实实验考试过程。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.倒计时功能：模拟考试时间限制，时间结束自动提交成绩（可提前主动提交）。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.特写功能：可清晰观察生物切片、细胞、真菌、微生物等。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.AI测评功能：根据学生完成实验时的操作快速给出相应的得分，并能直接定位错误步骤和失分点。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.AI数据分析功能：包含实验总览、实验统计、综合分析、分值曲线、错误分布等。</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43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F1-06</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中学生物实验课件资源</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#1.实验教学课件资源；</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提供</w:t>
            </w:r>
            <w:r>
              <w:rPr>
                <w:rFonts w:hint="eastAsia" w:ascii="宋体" w:hAnsi="宋体" w:eastAsia="宋体" w:cs="宋体"/>
                <w:i w:val="0"/>
                <w:iCs w:val="0"/>
                <w:color w:val="auto"/>
                <w:sz w:val="21"/>
                <w:szCs w:val="21"/>
                <w:u w:val="none"/>
                <w:lang w:val="en-US" w:eastAsia="zh-CN" w:bidi="ar"/>
              </w:rPr>
              <w:t xml:space="preserve">：显微镜的构造</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洋葱鳞片叶内表皮细胞</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植物细胞模式图</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动物细胞模式图</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动物的器官等</w:t>
            </w:r>
            <w:r>
              <w:rPr>
                <w:rFonts w:hint="eastAsia" w:ascii="宋体" w:hAnsi="宋体" w:cs="宋体"/>
                <w:i w:val="0"/>
                <w:iCs w:val="0"/>
                <w:color w:val="auto"/>
                <w:sz w:val="21"/>
                <w:szCs w:val="21"/>
                <w:u w:val="none"/>
                <w:lang w:val="en-US" w:eastAsia="zh-CN" w:bidi="ar"/>
              </w:rPr>
              <w:t xml:space="preserve">类似课件</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#2.实验测评考试课件资源；</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提供</w:t>
            </w:r>
            <w:r>
              <w:rPr>
                <w:rFonts w:hint="eastAsia" w:ascii="宋体" w:hAnsi="宋体" w:eastAsia="宋体" w:cs="宋体"/>
                <w:i w:val="0"/>
                <w:iCs w:val="0"/>
                <w:color w:val="auto"/>
                <w:sz w:val="21"/>
                <w:szCs w:val="21"/>
                <w:u w:val="none"/>
                <w:lang w:val="en-US" w:eastAsia="zh-CN" w:bidi="ar"/>
              </w:rPr>
              <w:t xml:space="preserve">：练习使用显微镜</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制作并观察植物细胞的临时装片</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观察人的口腔上皮细胞</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观察人体的基本组织</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观察种子的结构等</w:t>
            </w:r>
            <w:r>
              <w:rPr>
                <w:rFonts w:hint="eastAsia" w:ascii="宋体" w:hAnsi="宋体" w:cs="宋体"/>
                <w:i w:val="0"/>
                <w:iCs w:val="0"/>
                <w:color w:val="auto"/>
                <w:sz w:val="21"/>
                <w:szCs w:val="21"/>
                <w:u w:val="none"/>
                <w:lang w:val="en-US" w:eastAsia="zh-CN" w:bidi="ar"/>
              </w:rPr>
              <w:t xml:space="preserve">类似课件</w:t>
            </w:r>
            <w:r>
              <w:rPr>
                <w:rFonts w:hint="eastAsia" w:ascii="宋体" w:hAnsi="宋体" w:eastAsia="宋体" w:cs="宋体"/>
                <w:i w:val="0"/>
                <w:iCs w:val="0"/>
                <w:color w:val="auto"/>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355"/>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F1-07</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AR动态捕捉感应设备</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一、硬件特性：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#1.≥1080P高清视频；主动式红外检测；麦克风（零点平衡），拇指追踪、手指末端追踪、打开和收缩的手势；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#2.可视范围：水平视角</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57度；垂直视角：43度；机身转动范围：+27度-27度；传感深度范围：1.2-3.5m；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#3.音效：支持Xbox LIVE群组聊天和游戏中的语音聊天；回声消除系统增强声音输入质量；多语音识别纠错；</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#4.数据流：深度感应镜头320x240、16bit、30fps；颜色感应镜头640x480、32bit、30fps；音效16bit、16khz；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#5.支持其他性能感应：颜色和深度感应镜头；语音麦克风阵列；倾斜穿刚器激动调整；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#6.人物追踪：摄像机能最多同时追踪六个用户，支持两个用户同时操作一个应用；适合空间：单人，距离传感器大约4英尺7英寸（1.4米）；双人，距离传感器大约6英尺（1.8米）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二、包含与实验平台的适配开发和优化：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#1、基于Kinect手势识别技术和AR增强现实技术，实现虚拟物体与真实场景的融合优化，系统利用手势识别技术来进行平台人机交互；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#2、系统处理动态传感数据的优化，实现在实验中虚拟手实时、精确跟踪真实手，从而达到真实手抓取虚拟物体的效果；</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54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F1-08</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AR设备定制安装架</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#1、与动态捕捉摄像机和显示器配套，可移动、伸缩；可实现显示器高度调节；材料坚固、外形美观；</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F1-</w:t>
            </w:r>
            <w:r>
              <w:rPr>
                <w:rFonts w:hint="eastAsia" w:ascii="宋体" w:hAnsi="宋体" w:cs="宋体"/>
                <w:i w:val="0"/>
                <w:iCs w:val="0"/>
                <w:color w:val="auto"/>
                <w:sz w:val="21"/>
                <w:szCs w:val="21"/>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安装材料</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#1、安装配件、线材一批；</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1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F2、学生端分组理化生虚拟仿真实验</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7568" behindDoc="0" locked="0" layoutInCell="1" allowOverlap="1">
                      <wp:simplePos x="0" y="0"/>
                      <wp:positionH relativeFrom="column">
                        <wp:posOffset>0</wp:posOffset>
                      </wp:positionH>
                      <wp:positionV relativeFrom="paragraph">
                        <wp:posOffset>0</wp:posOffset>
                      </wp:positionV>
                      <wp:extent cx="57150" cy="149225"/>
                      <wp:effectExtent l="0" t="0" r="0" b="0"/>
                      <wp:wrapNone/>
                      <wp:docPr id="98" name="Picture_409_SpCnt_6"/>
                      <wp:cNvGraphicFramePr/>
                      <a:graphic xmlns:a="http://schemas.openxmlformats.org/drawingml/2006/main">
                        <a:graphicData uri="http://schemas.openxmlformats.org/drawingml/2006/picture">
                          <pic:pic xmlns:pic="http://schemas.openxmlformats.org/drawingml/2006/picture">
                            <pic:nvPicPr>
                              <pic:cNvPr id="98" name="Picture_409_SpCnt_6"/>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757568;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8592" behindDoc="0" locked="0" layoutInCell="1" allowOverlap="1">
                      <wp:simplePos x="0" y="0"/>
                      <wp:positionH relativeFrom="column">
                        <wp:posOffset>0</wp:posOffset>
                      </wp:positionH>
                      <wp:positionV relativeFrom="paragraph">
                        <wp:posOffset>0</wp:posOffset>
                      </wp:positionV>
                      <wp:extent cx="57150" cy="149225"/>
                      <wp:effectExtent l="0" t="0" r="0" b="0"/>
                      <wp:wrapNone/>
                      <wp:docPr id="99" name="Picture_408_SpCnt_6"/>
                      <wp:cNvGraphicFramePr/>
                      <a:graphic xmlns:a="http://schemas.openxmlformats.org/drawingml/2006/main">
                        <a:graphicData uri="http://schemas.openxmlformats.org/drawingml/2006/picture">
                          <pic:pic xmlns:pic="http://schemas.openxmlformats.org/drawingml/2006/picture">
                            <pic:nvPicPr>
                              <pic:cNvPr id="99" name="Picture_408_SpCnt_6"/>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758592;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9616" behindDoc="0" locked="0" layoutInCell="1" allowOverlap="1">
                      <wp:simplePos x="0" y="0"/>
                      <wp:positionH relativeFrom="column">
                        <wp:posOffset>0</wp:posOffset>
                      </wp:positionH>
                      <wp:positionV relativeFrom="paragraph">
                        <wp:posOffset>0</wp:posOffset>
                      </wp:positionV>
                      <wp:extent cx="57150" cy="149225"/>
                      <wp:effectExtent l="0" t="0" r="0" b="0"/>
                      <wp:wrapNone/>
                      <wp:docPr id="100" name="Picture_407_SpCnt_6"/>
                      <wp:cNvGraphicFramePr/>
                      <a:graphic xmlns:a="http://schemas.openxmlformats.org/drawingml/2006/main">
                        <a:graphicData uri="http://schemas.openxmlformats.org/drawingml/2006/picture">
                          <pic:pic xmlns:pic="http://schemas.openxmlformats.org/drawingml/2006/picture">
                            <pic:nvPicPr>
                              <pic:cNvPr id="100" name="Picture_407_SpCnt_6"/>
                              <pic:cNvPicPr/>
                              <pic:nvPr/>
                            </pic:nvPicPr>
                            <pic:blipFill>
                              <a:blip r:embed="rId12"/>
                              <a:stretch/>
                            </pic:blipFill>
                            <pic:spPr bwMode="auto">
                              <a:xfrm>
                                <a:off x="0" y="0"/>
                                <a:ext cx="57150" cy="14922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759616;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0640" behindDoc="0" locked="0" layoutInCell="1" allowOverlap="1">
                      <wp:simplePos x="0" y="0"/>
                      <wp:positionH relativeFrom="column">
                        <wp:posOffset>0</wp:posOffset>
                      </wp:positionH>
                      <wp:positionV relativeFrom="paragraph">
                        <wp:posOffset>0</wp:posOffset>
                      </wp:positionV>
                      <wp:extent cx="57150" cy="149225"/>
                      <wp:effectExtent l="0" t="0" r="0" b="0"/>
                      <wp:wrapNone/>
                      <wp:docPr id="101" name="Picture_248_SpCnt_6"/>
                      <wp:cNvGraphicFramePr/>
                      <a:graphic xmlns:a="http://schemas.openxmlformats.org/drawingml/2006/main">
                        <a:graphicData uri="http://schemas.openxmlformats.org/drawingml/2006/picture">
                          <pic:pic xmlns:pic="http://schemas.openxmlformats.org/drawingml/2006/picture">
                            <pic:nvPicPr>
                              <pic:cNvPr id="101" name="Picture_248_SpCnt_6"/>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760640;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1664" behindDoc="0" locked="0" layoutInCell="1" allowOverlap="1">
                      <wp:simplePos x="0" y="0"/>
                      <wp:positionH relativeFrom="column">
                        <wp:posOffset>0</wp:posOffset>
                      </wp:positionH>
                      <wp:positionV relativeFrom="paragraph">
                        <wp:posOffset>0</wp:posOffset>
                      </wp:positionV>
                      <wp:extent cx="57150" cy="149225"/>
                      <wp:effectExtent l="0" t="0" r="0" b="0"/>
                      <wp:wrapNone/>
                      <wp:docPr id="102" name="Picture_247_SpCnt_6"/>
                      <wp:cNvGraphicFramePr/>
                      <a:graphic xmlns:a="http://schemas.openxmlformats.org/drawingml/2006/main">
                        <a:graphicData uri="http://schemas.openxmlformats.org/drawingml/2006/picture">
                          <pic:pic xmlns:pic="http://schemas.openxmlformats.org/drawingml/2006/picture">
                            <pic:nvPicPr>
                              <pic:cNvPr id="102" name="Picture_247_SpCnt_6"/>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761664;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2688" behindDoc="0" locked="0" layoutInCell="1" allowOverlap="1">
                      <wp:simplePos x="0" y="0"/>
                      <wp:positionH relativeFrom="column">
                        <wp:posOffset>0</wp:posOffset>
                      </wp:positionH>
                      <wp:positionV relativeFrom="paragraph">
                        <wp:posOffset>0</wp:posOffset>
                      </wp:positionV>
                      <wp:extent cx="57150" cy="149225"/>
                      <wp:effectExtent l="0" t="0" r="0" b="0"/>
                      <wp:wrapNone/>
                      <wp:docPr id="103" name="Picture_246_SpCnt_6"/>
                      <wp:cNvGraphicFramePr/>
                      <a:graphic xmlns:a="http://schemas.openxmlformats.org/drawingml/2006/main">
                        <a:graphicData uri="http://schemas.openxmlformats.org/drawingml/2006/picture">
                          <pic:pic xmlns:pic="http://schemas.openxmlformats.org/drawingml/2006/picture">
                            <pic:nvPicPr>
                              <pic:cNvPr id="103" name="Picture_246_SpCnt_6"/>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762688;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3712" behindDoc="0" locked="0" layoutInCell="1" allowOverlap="1">
                      <wp:simplePos x="0" y="0"/>
                      <wp:positionH relativeFrom="column">
                        <wp:posOffset>0</wp:posOffset>
                      </wp:positionH>
                      <wp:positionV relativeFrom="paragraph">
                        <wp:posOffset>0</wp:posOffset>
                      </wp:positionV>
                      <wp:extent cx="57150" cy="149225"/>
                      <wp:effectExtent l="0" t="0" r="0" b="0"/>
                      <wp:wrapNone/>
                      <wp:docPr id="104" name="Picture_245_SpCnt_6"/>
                      <wp:cNvGraphicFramePr/>
                      <a:graphic xmlns:a="http://schemas.openxmlformats.org/drawingml/2006/main">
                        <a:graphicData uri="http://schemas.openxmlformats.org/drawingml/2006/picture">
                          <pic:pic xmlns:pic="http://schemas.openxmlformats.org/drawingml/2006/picture">
                            <pic:nvPicPr>
                              <pic:cNvPr id="104" name="Picture_245_SpCnt_6"/>
                              <pic:cNvPicPr/>
                              <pic:nvPr/>
                            </pic:nvPicPr>
                            <pic:blipFill>
                              <a:blip r:embed="rId12"/>
                              <a:stretch/>
                            </pic:blipFill>
                            <pic:spPr bwMode="auto">
                              <a:xfrm>
                                <a:off x="0" y="0"/>
                                <a:ext cx="57150" cy="14922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763712;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4736" behindDoc="0" locked="0" layoutInCell="1" allowOverlap="1">
                      <wp:simplePos x="0" y="0"/>
                      <wp:positionH relativeFrom="column">
                        <wp:posOffset>0</wp:posOffset>
                      </wp:positionH>
                      <wp:positionV relativeFrom="paragraph">
                        <wp:posOffset>0</wp:posOffset>
                      </wp:positionV>
                      <wp:extent cx="57150" cy="149225"/>
                      <wp:effectExtent l="0" t="0" r="0" b="0"/>
                      <wp:wrapNone/>
                      <wp:docPr id="105" name="Picture_204_SpCnt_12"/>
                      <wp:cNvGraphicFramePr/>
                      <a:graphic xmlns:a="http://schemas.openxmlformats.org/drawingml/2006/main">
                        <a:graphicData uri="http://schemas.openxmlformats.org/drawingml/2006/picture">
                          <pic:pic xmlns:pic="http://schemas.openxmlformats.org/drawingml/2006/picture">
                            <pic:nvPicPr>
                              <pic:cNvPr id="105" name="Picture_204_SpCnt_12"/>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764736;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5760" behindDoc="0" locked="0" layoutInCell="1" allowOverlap="1">
                      <wp:simplePos x="0" y="0"/>
                      <wp:positionH relativeFrom="column">
                        <wp:posOffset>0</wp:posOffset>
                      </wp:positionH>
                      <wp:positionV relativeFrom="paragraph">
                        <wp:posOffset>0</wp:posOffset>
                      </wp:positionV>
                      <wp:extent cx="57150" cy="149225"/>
                      <wp:effectExtent l="0" t="0" r="0" b="0"/>
                      <wp:wrapNone/>
                      <wp:docPr id="106" name="Picture_200_SpCnt_12"/>
                      <wp:cNvGraphicFramePr/>
                      <a:graphic xmlns:a="http://schemas.openxmlformats.org/drawingml/2006/main">
                        <a:graphicData uri="http://schemas.openxmlformats.org/drawingml/2006/picture">
                          <pic:pic xmlns:pic="http://schemas.openxmlformats.org/drawingml/2006/picture">
                            <pic:nvPicPr>
                              <pic:cNvPr id="106" name="Picture_200_SpCnt_12"/>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765760;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6784" behindDoc="0" locked="0" layoutInCell="1" allowOverlap="1">
                      <wp:simplePos x="0" y="0"/>
                      <wp:positionH relativeFrom="column">
                        <wp:posOffset>0</wp:posOffset>
                      </wp:positionH>
                      <wp:positionV relativeFrom="paragraph">
                        <wp:posOffset>0</wp:posOffset>
                      </wp:positionV>
                      <wp:extent cx="57150" cy="149225"/>
                      <wp:effectExtent l="0" t="0" r="0" b="0"/>
                      <wp:wrapNone/>
                      <wp:docPr id="107" name="Picture_197_SpCnt_12"/>
                      <wp:cNvGraphicFramePr/>
                      <a:graphic xmlns:a="http://schemas.openxmlformats.org/drawingml/2006/main">
                        <a:graphicData uri="http://schemas.openxmlformats.org/drawingml/2006/picture">
                          <pic:pic xmlns:pic="http://schemas.openxmlformats.org/drawingml/2006/picture">
                            <pic:nvPicPr>
                              <pic:cNvPr id="107" name="Picture_197_SpCnt_12"/>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766784;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7808" behindDoc="0" locked="0" layoutInCell="1" allowOverlap="1">
                      <wp:simplePos x="0" y="0"/>
                      <wp:positionH relativeFrom="column">
                        <wp:posOffset>0</wp:posOffset>
                      </wp:positionH>
                      <wp:positionV relativeFrom="paragraph">
                        <wp:posOffset>0</wp:posOffset>
                      </wp:positionV>
                      <wp:extent cx="57150" cy="149225"/>
                      <wp:effectExtent l="0" t="0" r="0" b="0"/>
                      <wp:wrapNone/>
                      <wp:docPr id="108" name="Picture_204_SpCnt_13"/>
                      <wp:cNvGraphicFramePr/>
                      <a:graphic xmlns:a="http://schemas.openxmlformats.org/drawingml/2006/main">
                        <a:graphicData uri="http://schemas.openxmlformats.org/drawingml/2006/picture">
                          <pic:pic xmlns:pic="http://schemas.openxmlformats.org/drawingml/2006/picture">
                            <pic:nvPicPr>
                              <pic:cNvPr id="108" name="Picture_204_SpCnt_13"/>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767808;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8832" behindDoc="0" locked="0" layoutInCell="1" allowOverlap="1">
                      <wp:simplePos x="0" y="0"/>
                      <wp:positionH relativeFrom="column">
                        <wp:posOffset>0</wp:posOffset>
                      </wp:positionH>
                      <wp:positionV relativeFrom="paragraph">
                        <wp:posOffset>0</wp:posOffset>
                      </wp:positionV>
                      <wp:extent cx="57150" cy="149225"/>
                      <wp:effectExtent l="0" t="0" r="0" b="0"/>
                      <wp:wrapNone/>
                      <wp:docPr id="109" name="Picture_200_SpCnt_13"/>
                      <wp:cNvGraphicFramePr/>
                      <a:graphic xmlns:a="http://schemas.openxmlformats.org/drawingml/2006/main">
                        <a:graphicData uri="http://schemas.openxmlformats.org/drawingml/2006/picture">
                          <pic:pic xmlns:pic="http://schemas.openxmlformats.org/drawingml/2006/picture">
                            <pic:nvPicPr>
                              <pic:cNvPr id="109" name="Picture_200_SpCnt_13"/>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768832;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9856" behindDoc="0" locked="0" layoutInCell="1" allowOverlap="1">
                      <wp:simplePos x="0" y="0"/>
                      <wp:positionH relativeFrom="column">
                        <wp:posOffset>0</wp:posOffset>
                      </wp:positionH>
                      <wp:positionV relativeFrom="paragraph">
                        <wp:posOffset>0</wp:posOffset>
                      </wp:positionV>
                      <wp:extent cx="57150" cy="149225"/>
                      <wp:effectExtent l="0" t="0" r="0" b="0"/>
                      <wp:wrapNone/>
                      <wp:docPr id="110" name="Picture_197_SpCnt_13"/>
                      <wp:cNvGraphicFramePr/>
                      <a:graphic xmlns:a="http://schemas.openxmlformats.org/drawingml/2006/main">
                        <a:graphicData uri="http://schemas.openxmlformats.org/drawingml/2006/picture">
                          <pic:pic xmlns:pic="http://schemas.openxmlformats.org/drawingml/2006/picture">
                            <pic:nvPicPr>
                              <pic:cNvPr id="110" name="Picture_197_SpCnt_13"/>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769856;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0880" behindDoc="0" locked="0" layoutInCell="1" allowOverlap="1">
                      <wp:simplePos x="0" y="0"/>
                      <wp:positionH relativeFrom="column">
                        <wp:posOffset>0</wp:posOffset>
                      </wp:positionH>
                      <wp:positionV relativeFrom="paragraph">
                        <wp:posOffset>0</wp:posOffset>
                      </wp:positionV>
                      <wp:extent cx="57150" cy="149225"/>
                      <wp:effectExtent l="0" t="0" r="0" b="0"/>
                      <wp:wrapNone/>
                      <wp:docPr id="111" name="Picture_248_SpCnt_7"/>
                      <wp:cNvGraphicFramePr/>
                      <a:graphic xmlns:a="http://schemas.openxmlformats.org/drawingml/2006/main">
                        <a:graphicData uri="http://schemas.openxmlformats.org/drawingml/2006/picture">
                          <pic:pic xmlns:pic="http://schemas.openxmlformats.org/drawingml/2006/picture">
                            <pic:nvPicPr>
                              <pic:cNvPr id="111" name="Picture_248_SpCnt_7"/>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770880;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1904" behindDoc="0" locked="0" layoutInCell="1" allowOverlap="1">
                      <wp:simplePos x="0" y="0"/>
                      <wp:positionH relativeFrom="column">
                        <wp:posOffset>0</wp:posOffset>
                      </wp:positionH>
                      <wp:positionV relativeFrom="paragraph">
                        <wp:posOffset>0</wp:posOffset>
                      </wp:positionV>
                      <wp:extent cx="57150" cy="149225"/>
                      <wp:effectExtent l="0" t="0" r="0" b="0"/>
                      <wp:wrapNone/>
                      <wp:docPr id="112" name="Picture_246_SpCnt_7"/>
                      <wp:cNvGraphicFramePr/>
                      <a:graphic xmlns:a="http://schemas.openxmlformats.org/drawingml/2006/main">
                        <a:graphicData uri="http://schemas.openxmlformats.org/drawingml/2006/picture">
                          <pic:pic xmlns:pic="http://schemas.openxmlformats.org/drawingml/2006/picture">
                            <pic:nvPicPr>
                              <pic:cNvPr id="112" name="Picture_246_SpCnt_7"/>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771904;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2928" behindDoc="0" locked="0" layoutInCell="1" allowOverlap="1">
                      <wp:simplePos x="0" y="0"/>
                      <wp:positionH relativeFrom="column">
                        <wp:posOffset>0</wp:posOffset>
                      </wp:positionH>
                      <wp:positionV relativeFrom="paragraph">
                        <wp:posOffset>0</wp:posOffset>
                      </wp:positionV>
                      <wp:extent cx="57150" cy="149225"/>
                      <wp:effectExtent l="0" t="0" r="0" b="0"/>
                      <wp:wrapNone/>
                      <wp:docPr id="113" name="Picture_245_SpCnt_7"/>
                      <wp:cNvGraphicFramePr/>
                      <a:graphic xmlns:a="http://schemas.openxmlformats.org/drawingml/2006/main">
                        <a:graphicData uri="http://schemas.openxmlformats.org/drawingml/2006/picture">
                          <pic:pic xmlns:pic="http://schemas.openxmlformats.org/drawingml/2006/picture">
                            <pic:nvPicPr>
                              <pic:cNvPr id="113" name="Picture_245_SpCnt_7"/>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772928;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3952" behindDoc="0" locked="0" layoutInCell="1" allowOverlap="1">
                      <wp:simplePos x="0" y="0"/>
                      <wp:positionH relativeFrom="column">
                        <wp:posOffset>0</wp:posOffset>
                      </wp:positionH>
                      <wp:positionV relativeFrom="paragraph">
                        <wp:posOffset>0</wp:posOffset>
                      </wp:positionV>
                      <wp:extent cx="57150" cy="149225"/>
                      <wp:effectExtent l="0" t="0" r="0" b="0"/>
                      <wp:wrapNone/>
                      <wp:docPr id="114" name="Picture_409_SpCnt_7"/>
                      <wp:cNvGraphicFramePr/>
                      <a:graphic xmlns:a="http://schemas.openxmlformats.org/drawingml/2006/main">
                        <a:graphicData uri="http://schemas.openxmlformats.org/drawingml/2006/picture">
                          <pic:pic xmlns:pic="http://schemas.openxmlformats.org/drawingml/2006/picture">
                            <pic:nvPicPr>
                              <pic:cNvPr id="114" name="Picture_409_SpCnt_7"/>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773952;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4976" behindDoc="0" locked="0" layoutInCell="1" allowOverlap="1">
                      <wp:simplePos x="0" y="0"/>
                      <wp:positionH relativeFrom="column">
                        <wp:posOffset>0</wp:posOffset>
                      </wp:positionH>
                      <wp:positionV relativeFrom="paragraph">
                        <wp:posOffset>0</wp:posOffset>
                      </wp:positionV>
                      <wp:extent cx="57150" cy="149225"/>
                      <wp:effectExtent l="0" t="0" r="0" b="0"/>
                      <wp:wrapNone/>
                      <wp:docPr id="115" name="Picture_408_SpCnt_7"/>
                      <wp:cNvGraphicFramePr/>
                      <a:graphic xmlns:a="http://schemas.openxmlformats.org/drawingml/2006/main">
                        <a:graphicData uri="http://schemas.openxmlformats.org/drawingml/2006/picture">
                          <pic:pic xmlns:pic="http://schemas.openxmlformats.org/drawingml/2006/picture">
                            <pic:nvPicPr>
                              <pic:cNvPr id="115" name="Picture_408_SpCnt_7"/>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774976;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6000" behindDoc="0" locked="0" layoutInCell="1" allowOverlap="1">
                      <wp:simplePos x="0" y="0"/>
                      <wp:positionH relativeFrom="column">
                        <wp:posOffset>0</wp:posOffset>
                      </wp:positionH>
                      <wp:positionV relativeFrom="paragraph">
                        <wp:posOffset>0</wp:posOffset>
                      </wp:positionV>
                      <wp:extent cx="57150" cy="149225"/>
                      <wp:effectExtent l="0" t="0" r="0" b="0"/>
                      <wp:wrapNone/>
                      <wp:docPr id="116" name="Picture_407_SpCnt_7"/>
                      <wp:cNvGraphicFramePr/>
                      <a:graphic xmlns:a="http://schemas.openxmlformats.org/drawingml/2006/main">
                        <a:graphicData uri="http://schemas.openxmlformats.org/drawingml/2006/picture">
                          <pic:pic xmlns:pic="http://schemas.openxmlformats.org/drawingml/2006/picture">
                            <pic:nvPicPr>
                              <pic:cNvPr id="116" name="Picture_407_SpCnt_7"/>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776000;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7024" behindDoc="0" locked="0" layoutInCell="1" allowOverlap="1">
                      <wp:simplePos x="0" y="0"/>
                      <wp:positionH relativeFrom="column">
                        <wp:posOffset>0</wp:posOffset>
                      </wp:positionH>
                      <wp:positionV relativeFrom="paragraph">
                        <wp:posOffset>0</wp:posOffset>
                      </wp:positionV>
                      <wp:extent cx="57150" cy="149225"/>
                      <wp:effectExtent l="0" t="0" r="0" b="0"/>
                      <wp:wrapNone/>
                      <wp:docPr id="117" name="Picture_197_SpCnt_14"/>
                      <wp:cNvGraphicFramePr/>
                      <a:graphic xmlns:a="http://schemas.openxmlformats.org/drawingml/2006/main">
                        <a:graphicData uri="http://schemas.openxmlformats.org/drawingml/2006/picture">
                          <pic:pic xmlns:pic="http://schemas.openxmlformats.org/drawingml/2006/picture">
                            <pic:nvPicPr>
                              <pic:cNvPr id="117" name="Picture_197_SpCnt_14"/>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777024;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8048" behindDoc="0" locked="0" layoutInCell="1" allowOverlap="1">
                      <wp:simplePos x="0" y="0"/>
                      <wp:positionH relativeFrom="column">
                        <wp:posOffset>0</wp:posOffset>
                      </wp:positionH>
                      <wp:positionV relativeFrom="paragraph">
                        <wp:posOffset>0</wp:posOffset>
                      </wp:positionV>
                      <wp:extent cx="57150" cy="149225"/>
                      <wp:effectExtent l="0" t="0" r="0" b="0"/>
                      <wp:wrapNone/>
                      <wp:docPr id="118" name="Picture_200_SpCnt_14"/>
                      <wp:cNvGraphicFramePr/>
                      <a:graphic xmlns:a="http://schemas.openxmlformats.org/drawingml/2006/main">
                        <a:graphicData uri="http://schemas.openxmlformats.org/drawingml/2006/picture">
                          <pic:pic xmlns:pic="http://schemas.openxmlformats.org/drawingml/2006/picture">
                            <pic:nvPicPr>
                              <pic:cNvPr id="118" name="Picture_200_SpCnt_14"/>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778048;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9072" behindDoc="0" locked="0" layoutInCell="1" allowOverlap="1">
                      <wp:simplePos x="0" y="0"/>
                      <wp:positionH relativeFrom="column">
                        <wp:posOffset>0</wp:posOffset>
                      </wp:positionH>
                      <wp:positionV relativeFrom="paragraph">
                        <wp:posOffset>0</wp:posOffset>
                      </wp:positionV>
                      <wp:extent cx="57150" cy="149225"/>
                      <wp:effectExtent l="0" t="0" r="0" b="0"/>
                      <wp:wrapNone/>
                      <wp:docPr id="119" name="Picture_197_SpCnt_15"/>
                      <wp:cNvGraphicFramePr/>
                      <a:graphic xmlns:a="http://schemas.openxmlformats.org/drawingml/2006/main">
                        <a:graphicData uri="http://schemas.openxmlformats.org/drawingml/2006/picture">
                          <pic:pic xmlns:pic="http://schemas.openxmlformats.org/drawingml/2006/picture">
                            <pic:nvPicPr>
                              <pic:cNvPr id="119" name="Picture_197_SpCnt_15"/>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779072;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0096" behindDoc="0" locked="0" layoutInCell="1" allowOverlap="1">
                      <wp:simplePos x="0" y="0"/>
                      <wp:positionH relativeFrom="column">
                        <wp:posOffset>0</wp:posOffset>
                      </wp:positionH>
                      <wp:positionV relativeFrom="paragraph">
                        <wp:posOffset>0</wp:posOffset>
                      </wp:positionV>
                      <wp:extent cx="57150" cy="149225"/>
                      <wp:effectExtent l="0" t="0" r="0" b="0"/>
                      <wp:wrapNone/>
                      <wp:docPr id="120" name="Picture_247_SpCnt_7"/>
                      <wp:cNvGraphicFramePr/>
                      <a:graphic xmlns:a="http://schemas.openxmlformats.org/drawingml/2006/main">
                        <a:graphicData uri="http://schemas.openxmlformats.org/drawingml/2006/picture">
                          <pic:pic xmlns:pic="http://schemas.openxmlformats.org/drawingml/2006/picture">
                            <pic:nvPicPr>
                              <pic:cNvPr id="120" name="Picture_247_SpCnt_7"/>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780096;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1120" behindDoc="0" locked="0" layoutInCell="1" allowOverlap="1">
                      <wp:simplePos x="0" y="0"/>
                      <wp:positionH relativeFrom="column">
                        <wp:posOffset>0</wp:posOffset>
                      </wp:positionH>
                      <wp:positionV relativeFrom="paragraph">
                        <wp:posOffset>0</wp:posOffset>
                      </wp:positionV>
                      <wp:extent cx="57150" cy="149225"/>
                      <wp:effectExtent l="0" t="0" r="0" b="0"/>
                      <wp:wrapNone/>
                      <wp:docPr id="121" name="Picture_204_SpCnt_14"/>
                      <wp:cNvGraphicFramePr/>
                      <a:graphic xmlns:a="http://schemas.openxmlformats.org/drawingml/2006/main">
                        <a:graphicData uri="http://schemas.openxmlformats.org/drawingml/2006/picture">
                          <pic:pic xmlns:pic="http://schemas.openxmlformats.org/drawingml/2006/picture">
                            <pic:nvPicPr>
                              <pic:cNvPr id="121" name="Picture_204_SpCnt_14"/>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781120;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2144" behindDoc="0" locked="0" layoutInCell="1" allowOverlap="1">
                      <wp:simplePos x="0" y="0"/>
                      <wp:positionH relativeFrom="column">
                        <wp:posOffset>0</wp:posOffset>
                      </wp:positionH>
                      <wp:positionV relativeFrom="paragraph">
                        <wp:posOffset>0</wp:posOffset>
                      </wp:positionV>
                      <wp:extent cx="57150" cy="149225"/>
                      <wp:effectExtent l="0" t="0" r="0" b="0"/>
                      <wp:wrapNone/>
                      <wp:docPr id="122" name="Picture_200_SpCnt_15"/>
                      <wp:cNvGraphicFramePr/>
                      <a:graphic xmlns:a="http://schemas.openxmlformats.org/drawingml/2006/main">
                        <a:graphicData uri="http://schemas.openxmlformats.org/drawingml/2006/picture">
                          <pic:pic xmlns:pic="http://schemas.openxmlformats.org/drawingml/2006/picture">
                            <pic:nvPicPr>
                              <pic:cNvPr id="122" name="Picture_200_SpCnt_15"/>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782144;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3168" behindDoc="0" locked="0" layoutInCell="1" allowOverlap="1">
                      <wp:simplePos x="0" y="0"/>
                      <wp:positionH relativeFrom="column">
                        <wp:posOffset>0</wp:posOffset>
                      </wp:positionH>
                      <wp:positionV relativeFrom="paragraph">
                        <wp:posOffset>0</wp:posOffset>
                      </wp:positionV>
                      <wp:extent cx="57150" cy="149225"/>
                      <wp:effectExtent l="0" t="0" r="0" b="0"/>
                      <wp:wrapNone/>
                      <wp:docPr id="123" name="Picture_204_SpCnt_15"/>
                      <wp:cNvGraphicFramePr/>
                      <a:graphic xmlns:a="http://schemas.openxmlformats.org/drawingml/2006/main">
                        <a:graphicData uri="http://schemas.openxmlformats.org/drawingml/2006/picture">
                          <pic:pic xmlns:pic="http://schemas.openxmlformats.org/drawingml/2006/picture">
                            <pic:nvPicPr>
                              <pic:cNvPr id="123" name="Picture_204_SpCnt_15"/>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783168;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4192" behindDoc="0" locked="0" layoutInCell="1" allowOverlap="1">
                      <wp:simplePos x="0" y="0"/>
                      <wp:positionH relativeFrom="column">
                        <wp:posOffset>0</wp:posOffset>
                      </wp:positionH>
                      <wp:positionV relativeFrom="paragraph">
                        <wp:posOffset>0</wp:posOffset>
                      </wp:positionV>
                      <wp:extent cx="57150" cy="149225"/>
                      <wp:effectExtent l="0" t="0" r="0" b="0"/>
                      <wp:wrapNone/>
                      <wp:docPr id="124" name="Picture_205_SpCnt_12"/>
                      <wp:cNvGraphicFramePr/>
                      <a:graphic xmlns:a="http://schemas.openxmlformats.org/drawingml/2006/main">
                        <a:graphicData uri="http://schemas.openxmlformats.org/drawingml/2006/picture">
                          <pic:pic xmlns:pic="http://schemas.openxmlformats.org/drawingml/2006/picture">
                            <pic:nvPicPr>
                              <pic:cNvPr id="124" name="Picture_205_SpCnt_12"/>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784192;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5216" behindDoc="0" locked="0" layoutInCell="1" allowOverlap="1">
                      <wp:simplePos x="0" y="0"/>
                      <wp:positionH relativeFrom="column">
                        <wp:posOffset>0</wp:posOffset>
                      </wp:positionH>
                      <wp:positionV relativeFrom="paragraph">
                        <wp:posOffset>0</wp:posOffset>
                      </wp:positionV>
                      <wp:extent cx="57150" cy="149225"/>
                      <wp:effectExtent l="0" t="0" r="0" b="0"/>
                      <wp:wrapNone/>
                      <wp:docPr id="125" name="Picture_410_SpCnt_6"/>
                      <wp:cNvGraphicFramePr/>
                      <a:graphic xmlns:a="http://schemas.openxmlformats.org/drawingml/2006/main">
                        <a:graphicData uri="http://schemas.openxmlformats.org/drawingml/2006/picture">
                          <pic:pic xmlns:pic="http://schemas.openxmlformats.org/drawingml/2006/picture">
                            <pic:nvPicPr>
                              <pic:cNvPr id="125" name="Picture_410_SpCnt_6"/>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785216;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6240" behindDoc="0" locked="0" layoutInCell="1" allowOverlap="1">
                      <wp:simplePos x="0" y="0"/>
                      <wp:positionH relativeFrom="column">
                        <wp:posOffset>0</wp:posOffset>
                      </wp:positionH>
                      <wp:positionV relativeFrom="paragraph">
                        <wp:posOffset>0</wp:posOffset>
                      </wp:positionV>
                      <wp:extent cx="57150" cy="149225"/>
                      <wp:effectExtent l="0" t="0" r="0" b="0"/>
                      <wp:wrapNone/>
                      <wp:docPr id="126" name="Picture_205_SpCnt_13"/>
                      <wp:cNvGraphicFramePr/>
                      <a:graphic xmlns:a="http://schemas.openxmlformats.org/drawingml/2006/main">
                        <a:graphicData uri="http://schemas.openxmlformats.org/drawingml/2006/picture">
                          <pic:pic xmlns:pic="http://schemas.openxmlformats.org/drawingml/2006/picture">
                            <pic:nvPicPr>
                              <pic:cNvPr id="126" name="Picture_205_SpCnt_13"/>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786240;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7264" behindDoc="0" locked="0" layoutInCell="1" allowOverlap="1">
                      <wp:simplePos x="0" y="0"/>
                      <wp:positionH relativeFrom="column">
                        <wp:posOffset>0</wp:posOffset>
                      </wp:positionH>
                      <wp:positionV relativeFrom="paragraph">
                        <wp:posOffset>0</wp:posOffset>
                      </wp:positionV>
                      <wp:extent cx="57150" cy="149225"/>
                      <wp:effectExtent l="0" t="0" r="0" b="0"/>
                      <wp:wrapNone/>
                      <wp:docPr id="127" name="Picture_205_SpCnt_14"/>
                      <wp:cNvGraphicFramePr/>
                      <a:graphic xmlns:a="http://schemas.openxmlformats.org/drawingml/2006/main">
                        <a:graphicData uri="http://schemas.openxmlformats.org/drawingml/2006/picture">
                          <pic:pic xmlns:pic="http://schemas.openxmlformats.org/drawingml/2006/picture">
                            <pic:nvPicPr>
                              <pic:cNvPr id="127" name="Picture_205_SpCnt_14"/>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787264;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8288" behindDoc="0" locked="0" layoutInCell="1" allowOverlap="1">
                      <wp:simplePos x="0" y="0"/>
                      <wp:positionH relativeFrom="column">
                        <wp:posOffset>0</wp:posOffset>
                      </wp:positionH>
                      <wp:positionV relativeFrom="paragraph">
                        <wp:posOffset>0</wp:posOffset>
                      </wp:positionV>
                      <wp:extent cx="57150" cy="149225"/>
                      <wp:effectExtent l="0" t="0" r="0" b="0"/>
                      <wp:wrapNone/>
                      <wp:docPr id="128" name="Picture_410_SpCnt_7"/>
                      <wp:cNvGraphicFramePr/>
                      <a:graphic xmlns:a="http://schemas.openxmlformats.org/drawingml/2006/main">
                        <a:graphicData uri="http://schemas.openxmlformats.org/drawingml/2006/picture">
                          <pic:pic xmlns:pic="http://schemas.openxmlformats.org/drawingml/2006/picture">
                            <pic:nvPicPr>
                              <pic:cNvPr id="128" name="Picture_410_SpCnt_7"/>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788288;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9312" behindDoc="0" locked="0" layoutInCell="1" allowOverlap="1">
                      <wp:simplePos x="0" y="0"/>
                      <wp:positionH relativeFrom="column">
                        <wp:posOffset>0</wp:posOffset>
                      </wp:positionH>
                      <wp:positionV relativeFrom="paragraph">
                        <wp:posOffset>0</wp:posOffset>
                      </wp:positionV>
                      <wp:extent cx="57150" cy="149225"/>
                      <wp:effectExtent l="0" t="0" r="0" b="0"/>
                      <wp:wrapNone/>
                      <wp:docPr id="129" name="Picture_205_SpCnt_15"/>
                      <wp:cNvGraphicFramePr/>
                      <a:graphic xmlns:a="http://schemas.openxmlformats.org/drawingml/2006/main">
                        <a:graphicData uri="http://schemas.openxmlformats.org/drawingml/2006/picture">
                          <pic:pic xmlns:pic="http://schemas.openxmlformats.org/drawingml/2006/picture">
                            <pic:nvPicPr>
                              <pic:cNvPr id="129" name="Picture_205_SpCnt_15"/>
                              <pic:cNvPicPr/>
                              <pic:nvPr/>
                            </pic:nvPicPr>
                            <pic:blipFill>
                              <a:blip r:embed="rId12"/>
                              <a:stretch/>
                            </pic:blipFill>
                            <pic:spPr bwMode="auto">
                              <a:xfrm>
                                <a:off x="0" y="0"/>
                                <a:ext cx="57150" cy="149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789312;o:allowoverlap:true;o:allowincell:true;mso-position-horizontal-relative:text;margin-left:0.0pt;mso-position-horizontal:absolute;mso-position-vertical-relative:text;margin-top:0.0pt;mso-position-vertical:absolute;width:4.5pt;height:11.8pt;mso-wrap-distance-left:9.0pt;mso-wrap-distance-top:0.0pt;mso-wrap-distance-right:9.0pt;mso-wrap-distance-bottom:0.0pt;" stroked="f">
                      <v:path textboxrect="0,0,0,0"/>
                      <v:imagedata r:id="rId12" o:title=""/>
                    </v:shape>
                  </w:pict>
                </mc:Fallback>
              </mc:AlternateContent>
            </w:r>
            <w:r/>
          </w:p>
        </w:tc>
      </w:tr>
      <w:tr>
        <w:trPr>
          <w:trHeight w:val="1793"/>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F2-01</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AI算力模块</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strike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#1.整机最大外形尺寸</w:t>
            </w:r>
            <w:r>
              <w:rPr>
                <w:rFonts w:hint="eastAsia" w:ascii="宋体" w:hAnsi="宋体" w:cs="宋体"/>
                <w:i w:val="0"/>
                <w:iCs w:val="0"/>
                <w:color w:val="auto"/>
                <w:sz w:val="21"/>
                <w:szCs w:val="21"/>
                <w:highlight w:val="none"/>
                <w:u w:val="none"/>
                <w:lang w:val="en-US" w:eastAsia="zh-CN" w:bidi="ar"/>
              </w:rPr>
              <w:t xml:space="preserve">约</w:t>
            </w:r>
            <w:r>
              <w:rPr>
                <w:rFonts w:hint="eastAsia" w:ascii="宋体" w:hAnsi="宋体" w:eastAsia="宋体" w:cs="宋体"/>
                <w:i w:val="0"/>
                <w:iCs w:val="0"/>
                <w:color w:val="auto"/>
                <w:sz w:val="21"/>
                <w:szCs w:val="21"/>
                <w:highlight w:val="none"/>
                <w:u w:val="none"/>
                <w:lang w:val="en-US" w:eastAsia="zh-CN" w:bidi="ar"/>
              </w:rPr>
              <w:t xml:space="preserve">260×</w:t>
            </w:r>
            <w:r>
              <w:rPr>
                <w:rFonts w:hint="eastAsia" w:ascii="宋体" w:hAnsi="宋体" w:cs="宋体"/>
                <w:i w:val="0"/>
                <w:iCs w:val="0"/>
                <w:color w:val="auto"/>
                <w:sz w:val="21"/>
                <w:szCs w:val="21"/>
                <w:highlight w:val="none"/>
                <w:u w:val="none"/>
                <w:lang w:val="en-US" w:eastAsia="zh-CN" w:bidi="ar"/>
              </w:rPr>
              <w:t xml:space="preserve">280</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strike w:val="0"/>
                <w:color w:val="auto"/>
                <w:sz w:val="21"/>
                <w:szCs w:val="21"/>
                <w:highlight w:val="none"/>
                <w:u w:val="none"/>
                <w:lang w:val="en-US" w:eastAsia="zh-CN" w:bidi="ar"/>
              </w:rPr>
              <w:t xml:space="preserve">45</w:t>
            </w:r>
            <w:r>
              <w:rPr>
                <w:rFonts w:hint="eastAsia" w:ascii="宋体" w:hAnsi="宋体" w:eastAsia="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#2.整机正面采用铝合金外壳设计；采用顶部出线，出线接口使用线槽屏蔽盖；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#3.整机壁挂式固定方式；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#4.整机接口非外接拓展，不少于2路千兆以太网交换接口；不少于3路支持PoE功能的千兆以太网接口，支持级联PoE功能的网络摄像机和阵列麦克风； 不少于1路MicroSD卡接口，支持通过MicroSD卡升级整机系统软件；不少于1路Type-C 接口，支持调试和控制功能；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#5.在休眠模式下，短按唤醒算力模块；在任何情况下长按底部按键5秒以上，系统重启；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#6.主频≥2.3GHz；内存容量大于等于16GB；采用SSD存储，支持TCG-OPAL 2.0硬件加密功能，存储容量大于等于256GB；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strike w:val="0"/>
                <w:color w:val="auto"/>
                <w:sz w:val="21"/>
                <w:szCs w:val="21"/>
                <w:highlight w:val="none"/>
                <w:u w:val="none"/>
                <w:lang w:val="en-US" w:eastAsia="zh-CN" w:bidi="ar"/>
              </w:rPr>
              <w:t xml:space="preserve">7.整机采用国产AI算力芯片</w:t>
            </w:r>
            <w:r>
              <w:rPr>
                <w:rFonts w:hint="eastAsia" w:ascii="宋体" w:hAnsi="宋体" w:cs="宋体"/>
                <w:i w:val="0"/>
                <w:iCs w:val="0"/>
                <w:strike w:val="0"/>
                <w:color w:val="auto"/>
                <w:sz w:val="21"/>
                <w:szCs w:val="21"/>
                <w:highlight w:val="none"/>
                <w:u w:val="none"/>
                <w:lang w:val="en-US" w:eastAsia="zh-CN" w:bidi="ar"/>
              </w:rPr>
              <w:t xml:space="preserve">；</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#8.整机存储器支持加密功能；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#9.整机支持通过web管理后台实现定时开关机、远程关机功能、查看设备在线状态；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#10.支持云端在线系统固件升级。</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0336" behindDoc="0" locked="0" layoutInCell="1" allowOverlap="1">
                      <wp:simplePos x="0" y="0"/>
                      <wp:positionH relativeFrom="column">
                        <wp:posOffset>0</wp:posOffset>
                      </wp:positionH>
                      <wp:positionV relativeFrom="paragraph">
                        <wp:posOffset>0</wp:posOffset>
                      </wp:positionV>
                      <wp:extent cx="57150" cy="139700"/>
                      <wp:effectExtent l="0" t="0" r="0" b="0"/>
                      <wp:wrapNone/>
                      <wp:docPr id="130" name="Picture_410_SpCnt_8"/>
                      <wp:cNvGraphicFramePr/>
                      <a:graphic xmlns:a="http://schemas.openxmlformats.org/drawingml/2006/main">
                        <a:graphicData uri="http://schemas.openxmlformats.org/drawingml/2006/picture">
                          <pic:pic xmlns:pic="http://schemas.openxmlformats.org/drawingml/2006/picture">
                            <pic:nvPicPr>
                              <pic:cNvPr id="130" name="Picture_410_SpCnt_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790336;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1360" behindDoc="0" locked="0" layoutInCell="1" allowOverlap="1">
                      <wp:simplePos x="0" y="0"/>
                      <wp:positionH relativeFrom="column">
                        <wp:posOffset>0</wp:posOffset>
                      </wp:positionH>
                      <wp:positionV relativeFrom="paragraph">
                        <wp:posOffset>0</wp:posOffset>
                      </wp:positionV>
                      <wp:extent cx="57150" cy="139700"/>
                      <wp:effectExtent l="0" t="0" r="0" b="0"/>
                      <wp:wrapNone/>
                      <wp:docPr id="131" name="Picture_409_SpCnt_8"/>
                      <wp:cNvGraphicFramePr/>
                      <a:graphic xmlns:a="http://schemas.openxmlformats.org/drawingml/2006/main">
                        <a:graphicData uri="http://schemas.openxmlformats.org/drawingml/2006/picture">
                          <pic:pic xmlns:pic="http://schemas.openxmlformats.org/drawingml/2006/picture">
                            <pic:nvPicPr>
                              <pic:cNvPr id="131" name="Picture_409_SpCnt_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791360;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2384" behindDoc="0" locked="0" layoutInCell="1" allowOverlap="1">
                      <wp:simplePos x="0" y="0"/>
                      <wp:positionH relativeFrom="column">
                        <wp:posOffset>0</wp:posOffset>
                      </wp:positionH>
                      <wp:positionV relativeFrom="paragraph">
                        <wp:posOffset>0</wp:posOffset>
                      </wp:positionV>
                      <wp:extent cx="57150" cy="139700"/>
                      <wp:effectExtent l="0" t="0" r="0" b="0"/>
                      <wp:wrapNone/>
                      <wp:docPr id="132" name="Picture_246_SpCnt_8"/>
                      <wp:cNvGraphicFramePr/>
                      <a:graphic xmlns:a="http://schemas.openxmlformats.org/drawingml/2006/main">
                        <a:graphicData uri="http://schemas.openxmlformats.org/drawingml/2006/picture">
                          <pic:pic xmlns:pic="http://schemas.openxmlformats.org/drawingml/2006/picture">
                            <pic:nvPicPr>
                              <pic:cNvPr id="132" name="Picture_246_SpCnt_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792384;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3408" behindDoc="0" locked="0" layoutInCell="1" allowOverlap="1">
                      <wp:simplePos x="0" y="0"/>
                      <wp:positionH relativeFrom="column">
                        <wp:posOffset>0</wp:posOffset>
                      </wp:positionH>
                      <wp:positionV relativeFrom="paragraph">
                        <wp:posOffset>0</wp:posOffset>
                      </wp:positionV>
                      <wp:extent cx="57150" cy="139700"/>
                      <wp:effectExtent l="0" t="0" r="0" b="0"/>
                      <wp:wrapNone/>
                      <wp:docPr id="133" name="Picture_200_SpCnt_16"/>
                      <wp:cNvGraphicFramePr/>
                      <a:graphic xmlns:a="http://schemas.openxmlformats.org/drawingml/2006/main">
                        <a:graphicData uri="http://schemas.openxmlformats.org/drawingml/2006/picture">
                          <pic:pic xmlns:pic="http://schemas.openxmlformats.org/drawingml/2006/picture">
                            <pic:nvPicPr>
                              <pic:cNvPr id="133" name="Picture_200_SpCnt_16"/>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793408;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4432" behindDoc="0" locked="0" layoutInCell="1" allowOverlap="1">
                      <wp:simplePos x="0" y="0"/>
                      <wp:positionH relativeFrom="column">
                        <wp:posOffset>0</wp:posOffset>
                      </wp:positionH>
                      <wp:positionV relativeFrom="paragraph">
                        <wp:posOffset>0</wp:posOffset>
                      </wp:positionV>
                      <wp:extent cx="57150" cy="139700"/>
                      <wp:effectExtent l="0" t="0" r="0" b="0"/>
                      <wp:wrapNone/>
                      <wp:docPr id="134" name="Picture_200_SpCnt_17"/>
                      <wp:cNvGraphicFramePr/>
                      <a:graphic xmlns:a="http://schemas.openxmlformats.org/drawingml/2006/main">
                        <a:graphicData uri="http://schemas.openxmlformats.org/drawingml/2006/picture">
                          <pic:pic xmlns:pic="http://schemas.openxmlformats.org/drawingml/2006/picture">
                            <pic:nvPicPr>
                              <pic:cNvPr id="134" name="Picture_200_SpCnt_17"/>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794432;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5456" behindDoc="0" locked="0" layoutInCell="1" allowOverlap="1">
                      <wp:simplePos x="0" y="0"/>
                      <wp:positionH relativeFrom="column">
                        <wp:posOffset>0</wp:posOffset>
                      </wp:positionH>
                      <wp:positionV relativeFrom="paragraph">
                        <wp:posOffset>0</wp:posOffset>
                      </wp:positionV>
                      <wp:extent cx="57150" cy="139700"/>
                      <wp:effectExtent l="0" t="0" r="0" b="0"/>
                      <wp:wrapNone/>
                      <wp:docPr id="135" name="Picture_407_SpCnt_8"/>
                      <wp:cNvGraphicFramePr/>
                      <a:graphic xmlns:a="http://schemas.openxmlformats.org/drawingml/2006/main">
                        <a:graphicData uri="http://schemas.openxmlformats.org/drawingml/2006/picture">
                          <pic:pic xmlns:pic="http://schemas.openxmlformats.org/drawingml/2006/picture">
                            <pic:nvPicPr>
                              <pic:cNvPr id="135" name="Picture_407_SpCnt_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795456;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6480" behindDoc="0" locked="0" layoutInCell="1" allowOverlap="1">
                      <wp:simplePos x="0" y="0"/>
                      <wp:positionH relativeFrom="column">
                        <wp:posOffset>0</wp:posOffset>
                      </wp:positionH>
                      <wp:positionV relativeFrom="paragraph">
                        <wp:posOffset>0</wp:posOffset>
                      </wp:positionV>
                      <wp:extent cx="57150" cy="139700"/>
                      <wp:effectExtent l="0" t="0" r="0" b="0"/>
                      <wp:wrapNone/>
                      <wp:docPr id="136" name="Picture_247_SpCnt_8"/>
                      <wp:cNvGraphicFramePr/>
                      <a:graphic xmlns:a="http://schemas.openxmlformats.org/drawingml/2006/main">
                        <a:graphicData uri="http://schemas.openxmlformats.org/drawingml/2006/picture">
                          <pic:pic xmlns:pic="http://schemas.openxmlformats.org/drawingml/2006/picture">
                            <pic:nvPicPr>
                              <pic:cNvPr id="136" name="Picture_247_SpCnt_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796480;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7504" behindDoc="0" locked="0" layoutInCell="1" allowOverlap="1">
                      <wp:simplePos x="0" y="0"/>
                      <wp:positionH relativeFrom="column">
                        <wp:posOffset>0</wp:posOffset>
                      </wp:positionH>
                      <wp:positionV relativeFrom="paragraph">
                        <wp:posOffset>0</wp:posOffset>
                      </wp:positionV>
                      <wp:extent cx="57150" cy="139700"/>
                      <wp:effectExtent l="0" t="0" r="0" b="0"/>
                      <wp:wrapNone/>
                      <wp:docPr id="137" name="Picture_197_SpCnt_16"/>
                      <wp:cNvGraphicFramePr/>
                      <a:graphic xmlns:a="http://schemas.openxmlformats.org/drawingml/2006/main">
                        <a:graphicData uri="http://schemas.openxmlformats.org/drawingml/2006/picture">
                          <pic:pic xmlns:pic="http://schemas.openxmlformats.org/drawingml/2006/picture">
                            <pic:nvPicPr>
                              <pic:cNvPr id="137" name="Picture_197_SpCnt_16"/>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797504;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8528" behindDoc="0" locked="0" layoutInCell="1" allowOverlap="1">
                      <wp:simplePos x="0" y="0"/>
                      <wp:positionH relativeFrom="column">
                        <wp:posOffset>0</wp:posOffset>
                      </wp:positionH>
                      <wp:positionV relativeFrom="paragraph">
                        <wp:posOffset>0</wp:posOffset>
                      </wp:positionV>
                      <wp:extent cx="57150" cy="139700"/>
                      <wp:effectExtent l="0" t="0" r="0" b="0"/>
                      <wp:wrapNone/>
                      <wp:docPr id="138" name="Picture_245_SpCnt_8"/>
                      <wp:cNvGraphicFramePr/>
                      <a:graphic xmlns:a="http://schemas.openxmlformats.org/drawingml/2006/main">
                        <a:graphicData uri="http://schemas.openxmlformats.org/drawingml/2006/picture">
                          <pic:pic xmlns:pic="http://schemas.openxmlformats.org/drawingml/2006/picture">
                            <pic:nvPicPr>
                              <pic:cNvPr id="138" name="Picture_245_SpCnt_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798528;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9552" behindDoc="0" locked="0" layoutInCell="1" allowOverlap="1">
                      <wp:simplePos x="0" y="0"/>
                      <wp:positionH relativeFrom="column">
                        <wp:posOffset>0</wp:posOffset>
                      </wp:positionH>
                      <wp:positionV relativeFrom="paragraph">
                        <wp:posOffset>0</wp:posOffset>
                      </wp:positionV>
                      <wp:extent cx="57150" cy="139700"/>
                      <wp:effectExtent l="0" t="0" r="0" b="0"/>
                      <wp:wrapNone/>
                      <wp:docPr id="139" name="Picture_204_SpCnt_16"/>
                      <wp:cNvGraphicFramePr/>
                      <a:graphic xmlns:a="http://schemas.openxmlformats.org/drawingml/2006/main">
                        <a:graphicData uri="http://schemas.openxmlformats.org/drawingml/2006/picture">
                          <pic:pic xmlns:pic="http://schemas.openxmlformats.org/drawingml/2006/picture">
                            <pic:nvPicPr>
                              <pic:cNvPr id="139" name="Picture_204_SpCnt_16"/>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799552;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0576" behindDoc="0" locked="0" layoutInCell="1" allowOverlap="1">
                      <wp:simplePos x="0" y="0"/>
                      <wp:positionH relativeFrom="column">
                        <wp:posOffset>0</wp:posOffset>
                      </wp:positionH>
                      <wp:positionV relativeFrom="paragraph">
                        <wp:posOffset>0</wp:posOffset>
                      </wp:positionV>
                      <wp:extent cx="57150" cy="139700"/>
                      <wp:effectExtent l="0" t="0" r="0" b="0"/>
                      <wp:wrapNone/>
                      <wp:docPr id="140" name="Picture_197_SpCnt_17"/>
                      <wp:cNvGraphicFramePr/>
                      <a:graphic xmlns:a="http://schemas.openxmlformats.org/drawingml/2006/main">
                        <a:graphicData uri="http://schemas.openxmlformats.org/drawingml/2006/picture">
                          <pic:pic xmlns:pic="http://schemas.openxmlformats.org/drawingml/2006/picture">
                            <pic:nvPicPr>
                              <pic:cNvPr id="140" name="Picture_197_SpCnt_17"/>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800576;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1600" behindDoc="0" locked="0" layoutInCell="1" allowOverlap="1">
                      <wp:simplePos x="0" y="0"/>
                      <wp:positionH relativeFrom="column">
                        <wp:posOffset>0</wp:posOffset>
                      </wp:positionH>
                      <wp:positionV relativeFrom="paragraph">
                        <wp:posOffset>0</wp:posOffset>
                      </wp:positionV>
                      <wp:extent cx="57150" cy="139700"/>
                      <wp:effectExtent l="0" t="0" r="0" b="0"/>
                      <wp:wrapNone/>
                      <wp:docPr id="141" name="Picture_409_SpCnt_9"/>
                      <wp:cNvGraphicFramePr/>
                      <a:graphic xmlns:a="http://schemas.openxmlformats.org/drawingml/2006/main">
                        <a:graphicData uri="http://schemas.openxmlformats.org/drawingml/2006/picture">
                          <pic:pic xmlns:pic="http://schemas.openxmlformats.org/drawingml/2006/picture">
                            <pic:nvPicPr>
                              <pic:cNvPr id="141" name="Picture_409_SpCnt_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801600;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2624" behindDoc="0" locked="0" layoutInCell="1" allowOverlap="1">
                      <wp:simplePos x="0" y="0"/>
                      <wp:positionH relativeFrom="column">
                        <wp:posOffset>0</wp:posOffset>
                      </wp:positionH>
                      <wp:positionV relativeFrom="paragraph">
                        <wp:posOffset>0</wp:posOffset>
                      </wp:positionV>
                      <wp:extent cx="57150" cy="139700"/>
                      <wp:effectExtent l="0" t="0" r="0" b="0"/>
                      <wp:wrapNone/>
                      <wp:docPr id="142" name="Picture_408_SpCnt_8"/>
                      <wp:cNvGraphicFramePr/>
                      <a:graphic xmlns:a="http://schemas.openxmlformats.org/drawingml/2006/main">
                        <a:graphicData uri="http://schemas.openxmlformats.org/drawingml/2006/picture">
                          <pic:pic xmlns:pic="http://schemas.openxmlformats.org/drawingml/2006/picture">
                            <pic:nvPicPr>
                              <pic:cNvPr id="142" name="Picture_408_SpCnt_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802624;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3648" behindDoc="0" locked="0" layoutInCell="1" allowOverlap="1">
                      <wp:simplePos x="0" y="0"/>
                      <wp:positionH relativeFrom="column">
                        <wp:posOffset>0</wp:posOffset>
                      </wp:positionH>
                      <wp:positionV relativeFrom="paragraph">
                        <wp:posOffset>0</wp:posOffset>
                      </wp:positionV>
                      <wp:extent cx="57150" cy="139700"/>
                      <wp:effectExtent l="0" t="0" r="0" b="0"/>
                      <wp:wrapNone/>
                      <wp:docPr id="143" name="Picture_248_SpCnt_8"/>
                      <wp:cNvGraphicFramePr/>
                      <a:graphic xmlns:a="http://schemas.openxmlformats.org/drawingml/2006/main">
                        <a:graphicData uri="http://schemas.openxmlformats.org/drawingml/2006/picture">
                          <pic:pic xmlns:pic="http://schemas.openxmlformats.org/drawingml/2006/picture">
                            <pic:nvPicPr>
                              <pic:cNvPr id="143" name="Picture_248_SpCnt_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803648;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4672" behindDoc="0" locked="0" layoutInCell="1" allowOverlap="1">
                      <wp:simplePos x="0" y="0"/>
                      <wp:positionH relativeFrom="column">
                        <wp:posOffset>0</wp:posOffset>
                      </wp:positionH>
                      <wp:positionV relativeFrom="paragraph">
                        <wp:posOffset>0</wp:posOffset>
                      </wp:positionV>
                      <wp:extent cx="57150" cy="139700"/>
                      <wp:effectExtent l="0" t="0" r="0" b="0"/>
                      <wp:wrapNone/>
                      <wp:docPr id="144" name="Picture_248_SpCnt_9"/>
                      <wp:cNvGraphicFramePr/>
                      <a:graphic xmlns:a="http://schemas.openxmlformats.org/drawingml/2006/main">
                        <a:graphicData uri="http://schemas.openxmlformats.org/drawingml/2006/picture">
                          <pic:pic xmlns:pic="http://schemas.openxmlformats.org/drawingml/2006/picture">
                            <pic:nvPicPr>
                              <pic:cNvPr id="144" name="Picture_248_SpCnt_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804672;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5696" behindDoc="0" locked="0" layoutInCell="1" allowOverlap="1">
                      <wp:simplePos x="0" y="0"/>
                      <wp:positionH relativeFrom="column">
                        <wp:posOffset>0</wp:posOffset>
                      </wp:positionH>
                      <wp:positionV relativeFrom="paragraph">
                        <wp:posOffset>0</wp:posOffset>
                      </wp:positionV>
                      <wp:extent cx="57150" cy="139700"/>
                      <wp:effectExtent l="0" t="0" r="0" b="0"/>
                      <wp:wrapNone/>
                      <wp:docPr id="145" name="Picture_204_SpCnt_17"/>
                      <wp:cNvGraphicFramePr/>
                      <a:graphic xmlns:a="http://schemas.openxmlformats.org/drawingml/2006/main">
                        <a:graphicData uri="http://schemas.openxmlformats.org/drawingml/2006/picture">
                          <pic:pic xmlns:pic="http://schemas.openxmlformats.org/drawingml/2006/picture">
                            <pic:nvPicPr>
                              <pic:cNvPr id="145" name="Picture_204_SpCnt_17"/>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805696;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6720" behindDoc="0" locked="0" layoutInCell="1" allowOverlap="1">
                      <wp:simplePos x="0" y="0"/>
                      <wp:positionH relativeFrom="column">
                        <wp:posOffset>0</wp:posOffset>
                      </wp:positionH>
                      <wp:positionV relativeFrom="paragraph">
                        <wp:posOffset>0</wp:posOffset>
                      </wp:positionV>
                      <wp:extent cx="57150" cy="139700"/>
                      <wp:effectExtent l="0" t="0" r="0" b="0"/>
                      <wp:wrapNone/>
                      <wp:docPr id="146" name="Picture_205_SpCnt_16"/>
                      <wp:cNvGraphicFramePr/>
                      <a:graphic xmlns:a="http://schemas.openxmlformats.org/drawingml/2006/main">
                        <a:graphicData uri="http://schemas.openxmlformats.org/drawingml/2006/picture">
                          <pic:pic xmlns:pic="http://schemas.openxmlformats.org/drawingml/2006/picture">
                            <pic:nvPicPr>
                              <pic:cNvPr id="146" name="Picture_205_SpCnt_16"/>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806720;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7744" behindDoc="0" locked="0" layoutInCell="1" allowOverlap="1">
                      <wp:simplePos x="0" y="0"/>
                      <wp:positionH relativeFrom="column">
                        <wp:posOffset>0</wp:posOffset>
                      </wp:positionH>
                      <wp:positionV relativeFrom="paragraph">
                        <wp:posOffset>0</wp:posOffset>
                      </wp:positionV>
                      <wp:extent cx="57150" cy="139700"/>
                      <wp:effectExtent l="0" t="0" r="0" b="0"/>
                      <wp:wrapNone/>
                      <wp:docPr id="147" name="Picture_200_SpCnt_18"/>
                      <wp:cNvGraphicFramePr/>
                      <a:graphic xmlns:a="http://schemas.openxmlformats.org/drawingml/2006/main">
                        <a:graphicData uri="http://schemas.openxmlformats.org/drawingml/2006/picture">
                          <pic:pic xmlns:pic="http://schemas.openxmlformats.org/drawingml/2006/picture">
                            <pic:nvPicPr>
                              <pic:cNvPr id="147" name="Picture_200_SpCnt_1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807744;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8768" behindDoc="0" locked="0" layoutInCell="1" allowOverlap="1">
                      <wp:simplePos x="0" y="0"/>
                      <wp:positionH relativeFrom="column">
                        <wp:posOffset>0</wp:posOffset>
                      </wp:positionH>
                      <wp:positionV relativeFrom="paragraph">
                        <wp:posOffset>0</wp:posOffset>
                      </wp:positionV>
                      <wp:extent cx="57150" cy="139700"/>
                      <wp:effectExtent l="0" t="0" r="0" b="0"/>
                      <wp:wrapNone/>
                      <wp:docPr id="148" name="Picture_204_SpCnt_18"/>
                      <wp:cNvGraphicFramePr/>
                      <a:graphic xmlns:a="http://schemas.openxmlformats.org/drawingml/2006/main">
                        <a:graphicData uri="http://schemas.openxmlformats.org/drawingml/2006/picture">
                          <pic:pic xmlns:pic="http://schemas.openxmlformats.org/drawingml/2006/picture">
                            <pic:nvPicPr>
                              <pic:cNvPr id="148" name="Picture_204_SpCnt_1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808768;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9792" behindDoc="0" locked="0" layoutInCell="1" allowOverlap="1">
                      <wp:simplePos x="0" y="0"/>
                      <wp:positionH relativeFrom="column">
                        <wp:posOffset>0</wp:posOffset>
                      </wp:positionH>
                      <wp:positionV relativeFrom="paragraph">
                        <wp:posOffset>0</wp:posOffset>
                      </wp:positionV>
                      <wp:extent cx="57150" cy="139700"/>
                      <wp:effectExtent l="0" t="0" r="0" b="0"/>
                      <wp:wrapNone/>
                      <wp:docPr id="149" name="Picture_205_SpCnt_17"/>
                      <wp:cNvGraphicFramePr/>
                      <a:graphic xmlns:a="http://schemas.openxmlformats.org/drawingml/2006/main">
                        <a:graphicData uri="http://schemas.openxmlformats.org/drawingml/2006/picture">
                          <pic:pic xmlns:pic="http://schemas.openxmlformats.org/drawingml/2006/picture">
                            <pic:nvPicPr>
                              <pic:cNvPr id="149" name="Picture_205_SpCnt_17"/>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809792;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0816" behindDoc="0" locked="0" layoutInCell="1" allowOverlap="1">
                      <wp:simplePos x="0" y="0"/>
                      <wp:positionH relativeFrom="column">
                        <wp:posOffset>0</wp:posOffset>
                      </wp:positionH>
                      <wp:positionV relativeFrom="paragraph">
                        <wp:posOffset>0</wp:posOffset>
                      </wp:positionV>
                      <wp:extent cx="57150" cy="139700"/>
                      <wp:effectExtent l="0" t="0" r="0" b="0"/>
                      <wp:wrapNone/>
                      <wp:docPr id="150" name="Picture_245_SpCnt_9"/>
                      <wp:cNvGraphicFramePr/>
                      <a:graphic xmlns:a="http://schemas.openxmlformats.org/drawingml/2006/main">
                        <a:graphicData uri="http://schemas.openxmlformats.org/drawingml/2006/picture">
                          <pic:pic xmlns:pic="http://schemas.openxmlformats.org/drawingml/2006/picture">
                            <pic:nvPicPr>
                              <pic:cNvPr id="150" name="Picture_245_SpCnt_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810816;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1840" behindDoc="0" locked="0" layoutInCell="1" allowOverlap="1">
                      <wp:simplePos x="0" y="0"/>
                      <wp:positionH relativeFrom="column">
                        <wp:posOffset>0</wp:posOffset>
                      </wp:positionH>
                      <wp:positionV relativeFrom="paragraph">
                        <wp:posOffset>0</wp:posOffset>
                      </wp:positionV>
                      <wp:extent cx="57150" cy="139700"/>
                      <wp:effectExtent l="0" t="0" r="0" b="0"/>
                      <wp:wrapNone/>
                      <wp:docPr id="151" name="Picture_410_SpCnt_9"/>
                      <wp:cNvGraphicFramePr/>
                      <a:graphic xmlns:a="http://schemas.openxmlformats.org/drawingml/2006/main">
                        <a:graphicData uri="http://schemas.openxmlformats.org/drawingml/2006/picture">
                          <pic:pic xmlns:pic="http://schemas.openxmlformats.org/drawingml/2006/picture">
                            <pic:nvPicPr>
                              <pic:cNvPr id="151" name="Picture_410_SpCnt_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811840;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2864" behindDoc="0" locked="0" layoutInCell="1" allowOverlap="1">
                      <wp:simplePos x="0" y="0"/>
                      <wp:positionH relativeFrom="column">
                        <wp:posOffset>0</wp:posOffset>
                      </wp:positionH>
                      <wp:positionV relativeFrom="paragraph">
                        <wp:posOffset>0</wp:posOffset>
                      </wp:positionV>
                      <wp:extent cx="57150" cy="139700"/>
                      <wp:effectExtent l="0" t="0" r="0" b="0"/>
                      <wp:wrapNone/>
                      <wp:docPr id="152" name="Picture_205_SpCnt_18"/>
                      <wp:cNvGraphicFramePr/>
                      <a:graphic xmlns:a="http://schemas.openxmlformats.org/drawingml/2006/main">
                        <a:graphicData uri="http://schemas.openxmlformats.org/drawingml/2006/picture">
                          <pic:pic xmlns:pic="http://schemas.openxmlformats.org/drawingml/2006/picture">
                            <pic:nvPicPr>
                              <pic:cNvPr id="152" name="Picture_205_SpCnt_1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812864;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3888" behindDoc="0" locked="0" layoutInCell="1" allowOverlap="1">
                      <wp:simplePos x="0" y="0"/>
                      <wp:positionH relativeFrom="column">
                        <wp:posOffset>0</wp:posOffset>
                      </wp:positionH>
                      <wp:positionV relativeFrom="paragraph">
                        <wp:posOffset>0</wp:posOffset>
                      </wp:positionV>
                      <wp:extent cx="57150" cy="139700"/>
                      <wp:effectExtent l="0" t="0" r="0" b="0"/>
                      <wp:wrapNone/>
                      <wp:docPr id="153" name="Picture_204_SpCnt_19"/>
                      <wp:cNvGraphicFramePr/>
                      <a:graphic xmlns:a="http://schemas.openxmlformats.org/drawingml/2006/main">
                        <a:graphicData uri="http://schemas.openxmlformats.org/drawingml/2006/picture">
                          <pic:pic xmlns:pic="http://schemas.openxmlformats.org/drawingml/2006/picture">
                            <pic:nvPicPr>
                              <pic:cNvPr id="153" name="Picture_204_SpCnt_1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813888;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4912" behindDoc="0" locked="0" layoutInCell="1" allowOverlap="1">
                      <wp:simplePos x="0" y="0"/>
                      <wp:positionH relativeFrom="column">
                        <wp:posOffset>0</wp:posOffset>
                      </wp:positionH>
                      <wp:positionV relativeFrom="paragraph">
                        <wp:posOffset>0</wp:posOffset>
                      </wp:positionV>
                      <wp:extent cx="57150" cy="139700"/>
                      <wp:effectExtent l="0" t="0" r="0" b="0"/>
                      <wp:wrapNone/>
                      <wp:docPr id="154" name="Picture_200_SpCnt_19"/>
                      <wp:cNvGraphicFramePr/>
                      <a:graphic xmlns:a="http://schemas.openxmlformats.org/drawingml/2006/main">
                        <a:graphicData uri="http://schemas.openxmlformats.org/drawingml/2006/picture">
                          <pic:pic xmlns:pic="http://schemas.openxmlformats.org/drawingml/2006/picture">
                            <pic:nvPicPr>
                              <pic:cNvPr id="154" name="Picture_200_SpCnt_1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814912;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5936" behindDoc="0" locked="0" layoutInCell="1" allowOverlap="1">
                      <wp:simplePos x="0" y="0"/>
                      <wp:positionH relativeFrom="column">
                        <wp:posOffset>0</wp:posOffset>
                      </wp:positionH>
                      <wp:positionV relativeFrom="paragraph">
                        <wp:posOffset>0</wp:posOffset>
                      </wp:positionV>
                      <wp:extent cx="57150" cy="139700"/>
                      <wp:effectExtent l="0" t="0" r="0" b="0"/>
                      <wp:wrapNone/>
                      <wp:docPr id="155" name="Picture_197_SpCnt_18"/>
                      <wp:cNvGraphicFramePr/>
                      <a:graphic xmlns:a="http://schemas.openxmlformats.org/drawingml/2006/main">
                        <a:graphicData uri="http://schemas.openxmlformats.org/drawingml/2006/picture">
                          <pic:pic xmlns:pic="http://schemas.openxmlformats.org/drawingml/2006/picture">
                            <pic:nvPicPr>
                              <pic:cNvPr id="155" name="Picture_197_SpCnt_18"/>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815936;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6960" behindDoc="0" locked="0" layoutInCell="1" allowOverlap="1">
                      <wp:simplePos x="0" y="0"/>
                      <wp:positionH relativeFrom="column">
                        <wp:posOffset>0</wp:posOffset>
                      </wp:positionH>
                      <wp:positionV relativeFrom="paragraph">
                        <wp:posOffset>0</wp:posOffset>
                      </wp:positionV>
                      <wp:extent cx="57150" cy="139700"/>
                      <wp:effectExtent l="0" t="0" r="0" b="0"/>
                      <wp:wrapNone/>
                      <wp:docPr id="156" name="Picture_205_SpCnt_19"/>
                      <wp:cNvGraphicFramePr/>
                      <a:graphic xmlns:a="http://schemas.openxmlformats.org/drawingml/2006/main">
                        <a:graphicData uri="http://schemas.openxmlformats.org/drawingml/2006/picture">
                          <pic:pic xmlns:pic="http://schemas.openxmlformats.org/drawingml/2006/picture">
                            <pic:nvPicPr>
                              <pic:cNvPr id="156" name="Picture_205_SpCnt_1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816960;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7984" behindDoc="0" locked="0" layoutInCell="1" allowOverlap="1">
                      <wp:simplePos x="0" y="0"/>
                      <wp:positionH relativeFrom="column">
                        <wp:posOffset>0</wp:posOffset>
                      </wp:positionH>
                      <wp:positionV relativeFrom="paragraph">
                        <wp:posOffset>0</wp:posOffset>
                      </wp:positionV>
                      <wp:extent cx="57150" cy="139700"/>
                      <wp:effectExtent l="0" t="0" r="0" b="0"/>
                      <wp:wrapNone/>
                      <wp:docPr id="157" name="Picture_247_SpCnt_9"/>
                      <wp:cNvGraphicFramePr/>
                      <a:graphic xmlns:a="http://schemas.openxmlformats.org/drawingml/2006/main">
                        <a:graphicData uri="http://schemas.openxmlformats.org/drawingml/2006/picture">
                          <pic:pic xmlns:pic="http://schemas.openxmlformats.org/drawingml/2006/picture">
                            <pic:nvPicPr>
                              <pic:cNvPr id="157" name="Picture_247_SpCnt_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817984;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19008" behindDoc="0" locked="0" layoutInCell="1" allowOverlap="1">
                      <wp:simplePos x="0" y="0"/>
                      <wp:positionH relativeFrom="column">
                        <wp:posOffset>0</wp:posOffset>
                      </wp:positionH>
                      <wp:positionV relativeFrom="paragraph">
                        <wp:posOffset>0</wp:posOffset>
                      </wp:positionV>
                      <wp:extent cx="57150" cy="139700"/>
                      <wp:effectExtent l="0" t="0" r="0" b="0"/>
                      <wp:wrapNone/>
                      <wp:docPr id="158" name="Picture_407_SpCnt_9"/>
                      <wp:cNvGraphicFramePr/>
                      <a:graphic xmlns:a="http://schemas.openxmlformats.org/drawingml/2006/main">
                        <a:graphicData uri="http://schemas.openxmlformats.org/drawingml/2006/picture">
                          <pic:pic xmlns:pic="http://schemas.openxmlformats.org/drawingml/2006/picture">
                            <pic:nvPicPr>
                              <pic:cNvPr id="158" name="Picture_407_SpCnt_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1819008;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0032" behindDoc="0" locked="0" layoutInCell="1" allowOverlap="1">
                      <wp:simplePos x="0" y="0"/>
                      <wp:positionH relativeFrom="column">
                        <wp:posOffset>0</wp:posOffset>
                      </wp:positionH>
                      <wp:positionV relativeFrom="paragraph">
                        <wp:posOffset>0</wp:posOffset>
                      </wp:positionV>
                      <wp:extent cx="57150" cy="139700"/>
                      <wp:effectExtent l="0" t="0" r="0" b="0"/>
                      <wp:wrapNone/>
                      <wp:docPr id="159" name="Picture_246_SpCnt_9"/>
                      <wp:cNvGraphicFramePr/>
                      <a:graphic xmlns:a="http://schemas.openxmlformats.org/drawingml/2006/main">
                        <a:graphicData uri="http://schemas.openxmlformats.org/drawingml/2006/picture">
                          <pic:pic xmlns:pic="http://schemas.openxmlformats.org/drawingml/2006/picture">
                            <pic:nvPicPr>
                              <pic:cNvPr id="159" name="Picture_246_SpCnt_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1820032;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1056" behindDoc="0" locked="0" layoutInCell="1" allowOverlap="1">
                      <wp:simplePos x="0" y="0"/>
                      <wp:positionH relativeFrom="column">
                        <wp:posOffset>0</wp:posOffset>
                      </wp:positionH>
                      <wp:positionV relativeFrom="paragraph">
                        <wp:posOffset>0</wp:posOffset>
                      </wp:positionV>
                      <wp:extent cx="57150" cy="139700"/>
                      <wp:effectExtent l="0" t="0" r="0" b="0"/>
                      <wp:wrapNone/>
                      <wp:docPr id="160" name="Picture_408_SpCnt_9"/>
                      <wp:cNvGraphicFramePr/>
                      <a:graphic xmlns:a="http://schemas.openxmlformats.org/drawingml/2006/main">
                        <a:graphicData uri="http://schemas.openxmlformats.org/drawingml/2006/picture">
                          <pic:pic xmlns:pic="http://schemas.openxmlformats.org/drawingml/2006/picture">
                            <pic:nvPicPr>
                              <pic:cNvPr id="160" name="Picture_408_SpCnt_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1821056;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2080" behindDoc="0" locked="0" layoutInCell="1" allowOverlap="1">
                      <wp:simplePos x="0" y="0"/>
                      <wp:positionH relativeFrom="column">
                        <wp:posOffset>0</wp:posOffset>
                      </wp:positionH>
                      <wp:positionV relativeFrom="paragraph">
                        <wp:posOffset>0</wp:posOffset>
                      </wp:positionV>
                      <wp:extent cx="57150" cy="139700"/>
                      <wp:effectExtent l="0" t="0" r="0" b="0"/>
                      <wp:wrapNone/>
                      <wp:docPr id="161" name="Picture_197_SpCnt_19"/>
                      <wp:cNvGraphicFramePr/>
                      <a:graphic xmlns:a="http://schemas.openxmlformats.org/drawingml/2006/main">
                        <a:graphicData uri="http://schemas.openxmlformats.org/drawingml/2006/picture">
                          <pic:pic xmlns:pic="http://schemas.openxmlformats.org/drawingml/2006/picture">
                            <pic:nvPicPr>
                              <pic:cNvPr id="161" name="Picture_197_SpCnt_19"/>
                              <pic:cNvPicPr/>
                              <pic:nvPr/>
                            </pic:nvPicPr>
                            <pic:blipFill>
                              <a:blip r:embed="rId13"/>
                              <a:stretch/>
                            </pic:blipFill>
                            <pic:spPr bwMode="auto">
                              <a:xfrm>
                                <a:off x="0" y="0"/>
                                <a:ext cx="57150" cy="139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822080;o:allowoverlap:true;o:allowincell:true;mso-position-horizontal-relative:text;margin-left:0.0pt;mso-position-horizontal:absolute;mso-position-vertical-relative:text;margin-top:0.0pt;mso-position-vertical:absolute;width:4.5pt;height:11.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auto"/>
                <w:sz w:val="21"/>
                <w:szCs w:val="21"/>
                <w:u w:val="none"/>
                <w:lang w:val="en-US" w:eastAsia="zh-CN" w:bidi="ar"/>
              </w:rPr>
              <w:t xml:space="preserve">1</w:t>
            </w:r>
            <w:r/>
          </w:p>
        </w:tc>
      </w:tr>
      <w:tr>
        <w:trPr>
          <w:trHeight w:val="1733"/>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F2-02</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4K教师观察摄像机</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#1、产品采用一体化设计，内置4k摄像头和麦克风；</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#2、摄像头水平视场角≥40°，对角线视场角≥45°，传感器有效像素≥800万，支持4K超高清影像输出；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▲3、提供3840×2160图像编码输出，同时向下兼容 1920×1080、1280×720 分辨率；</w:t>
            </w:r>
            <w:r>
              <w:rPr>
                <w:rFonts w:hint="eastAsia" w:ascii="宋体" w:hAnsi="宋体" w:eastAsia="宋体" w:cs="宋体"/>
                <w:b/>
                <w:bCs/>
                <w:i w:val="0"/>
                <w:iCs w:val="0"/>
                <w:strike w:val="0"/>
                <w:color w:val="auto"/>
                <w:sz w:val="21"/>
                <w:szCs w:val="21"/>
                <w:highlight w:val="none"/>
                <w:u w:val="none"/>
                <w:lang w:val="en-US" w:eastAsia="zh-CN" w:bidi="ar"/>
              </w:rPr>
              <w:t xml:space="preserve">（提供具有CMA标识的第三方检测机构出具的检测报告原件扫描件或产品白皮书或官网截图）</w:t>
            </w:r>
            <w:r>
              <w:rPr>
                <w:rFonts w:hint="eastAsia" w:ascii="宋体" w:hAnsi="宋体" w:eastAsia="宋体" w:cs="宋体"/>
                <w:i w:val="0"/>
                <w:iCs w:val="0"/>
                <w:strike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#4、产品可同时提供3路编码输出，1路支持1920x1080分辨率的课堂实录画面，帧率可设置25fps、30fps；1路支持3840x2160分辨率；1路1920x1080分辨率板书画面，菜单设置帧率可选10/5/3/1 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#5、内置视频处理器采用四核处理器，≥512MB系统内存、≥128MB存储空间；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#6、在无需连接外网情况下，产品支持老师在教学过程书写的板书内容和老师遮挡分层处理，输出视频中老师身体遮挡板书内容实现透视可见，实现教学过程板书可视化；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#7、在无需连接外网情况下，产品支持老师在副屏位置书写板书的图像识别，可对画面内板书内容和人物进行分层； 支持人物的隐藏和透明度调整设置；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#8、产品支持H.264视频编码格式；视频码率设置范围：819Kbps ~ 12288Kbps；</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#9、内置8阵列麦克风，拾音角度≥180°，麦克风拾音距离≥12m，音频处理采用4核音频处理芯片，配置≥64MB系统内存，≥256MB存储空间；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#10、产品接口含2路RJ45级联接口，PoE in支持RJ45音频输入，PoE out 支持网络级联和信息输出；1路DC接口；1个红绿双色指示灯，支持显示产品工作状态；1路针孔按键，支持复位重启设备功能；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#11、内置指示灯，支持显示工作状态；工作状态包括：正常上电后状态、OTA升级状态、复位状态；正常工作状态为绿色；OTA升级，指示灯为绿色闪烁；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#12、支持≥2种供电方式</w:t>
            </w:r>
            <w:r>
              <w:rPr>
                <w:rFonts w:hint="eastAsia" w:ascii="宋体" w:hAnsi="宋体" w:eastAsia="宋体" w:cs="宋体"/>
                <w:i w:val="0"/>
                <w:iCs w:val="0"/>
                <w:strike w:val="0"/>
                <w:color w:val="auto"/>
                <w:sz w:val="21"/>
                <w:szCs w:val="21"/>
                <w:u w:val="none"/>
                <w:lang w:val="en-US" w:eastAsia="zh-CN" w:bidi="ar"/>
              </w:rPr>
              <w:t xml:space="preserve">给外部POE设备供电</w:t>
            </w:r>
            <w:r>
              <w:rPr>
                <w:rFonts w:hint="eastAsia" w:ascii="宋体" w:hAnsi="宋体" w:eastAsia="宋体" w:cs="宋体"/>
                <w:i w:val="0"/>
                <w:iCs w:val="0"/>
                <w:strike w:val="0"/>
                <w:color w:val="auto"/>
                <w:sz w:val="21"/>
                <w:szCs w:val="21"/>
                <w:u w:val="none"/>
                <w:lang w:val="en-US" w:eastAsia="zh-CN" w:bidi="ar"/>
              </w:rPr>
              <w:t xml:space="preserve">；只需要1路网线，即可实现供电及网络信号传输，</w:t>
            </w:r>
            <w:r>
              <w:rPr>
                <w:rFonts w:hint="eastAsia" w:ascii="宋体" w:hAnsi="宋体" w:eastAsia="宋体" w:cs="宋体"/>
                <w:i w:val="0"/>
                <w:iCs w:val="0"/>
                <w:color w:val="auto"/>
                <w:sz w:val="21"/>
                <w:szCs w:val="21"/>
                <w:u w:val="none"/>
                <w:lang w:val="en-US" w:eastAsia="zh-CN" w:bidi="ar"/>
              </w:rPr>
              <w:t xml:space="preserve">支持同时输出全景输出和板书记忆多路画面；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#13、产品软件支持web端进行远程OTA在线升级。</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98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F2-03</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4K学生观察摄像机</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#1.整机采用一体化设计，内置四个摄像头和8阵列麦克风，支持PoE和DC12V直流供电；</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#2.整机具备不少于2路RJ45接口；不少于1路3.5mm audio in 音频输入接口；不少于1路Type-C接口；不少于1路DC12V电源输入接口；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#3.整机具有≥2个工作状态LED指示灯，可分别指示音频系统工作状态指示和视频系统工作状态指示；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#4.产品内置专属的不低于4核音频CPU处理器，配置独立不低于64MB系统内存，不低于256MB存储空间；支持不低于8路麦克风数据处理，采样率不低于192k，AAC编码码率不低于480kbps；</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整机内置独立音频CPU处理器，采集音频拆分2路信号，一路用于课堂回放音频，一路用于AI语音分析；支持音频3A算法（自动增益控制（AGC）、自动抑制噪声（ANC）、自动回声消除（AEC）），提升麦克风拾音效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#6.整机内置8阵列麦克风，拾音角度≥180°，可用于对教室环境音频进行采集，拾音距离≥12m时，信噪比不低于15dB；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#7.产品内置采用不低于4核视频处理器，操作系统版本linux 5.1及以上操作系统，≥1GB系统内存、≥8GB存储空间；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#8.整机内置非独立摄像头模组，同时输出至少 3 路视频流，同时支持课堂远程巡课、课堂教学数据采集、本地画面预览（拍照或视频录制）；</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189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F2-04</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麦克风</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#1、产品采用一体化设计，内置≥6个传感器单元，组成环形阵列；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#2、产品内置阵列麦克风，360°全向拾音，麦克风拾音距离≥4m；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#3、产品音频处理采用4核国产音频处理芯片；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#4、产品接口含2路RJ45级联接口，Down支持RJ45音频输入，Up 支持网络级联和信息输出，同时支持PoE in电源；1路USB音频接口；2路3.5mm AUX接口，支持音频输入输出接口；1个红绿双色指示灯，支持显示产品工作状态；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#5、产品整机支持POE供电</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支持给外部POE设备供电；</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4175"/>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F2-05</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课堂智能反馈系统</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#1、系统支持通过按钮控制启动、停止，当系统运行时，有指示灯提示。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#2、系统支持通过整机设备的侧边栏控制启动、停止，启动后实时显示平均语速、讲授时长、讲授字数。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#3、系统支持在整机设备的侧边栏中查看运行状态，当设备异常时，会进行异常提示。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#4、系统支持对教室环境的3D还原重建，形成桌椅、讲台、一体机的真实环境建模，采集到的师生互动行为自动对应到具体课桌位置；支持正前方、左前方、右前方、左后方、右后方</w:t>
            </w:r>
            <w:r>
              <w:rPr>
                <w:rFonts w:hint="eastAsia" w:ascii="宋体" w:hAnsi="宋体" w:cs="宋体"/>
                <w:i w:val="0"/>
                <w:iCs w:val="0"/>
                <w:strike w:val="0"/>
                <w:color w:val="auto"/>
                <w:sz w:val="21"/>
                <w:szCs w:val="21"/>
                <w:u w:val="none"/>
                <w:lang w:val="en-US" w:eastAsia="zh-CN" w:bidi="ar"/>
              </w:rPr>
              <w:t xml:space="preserve">多</w:t>
            </w:r>
            <w:r>
              <w:rPr>
                <w:rFonts w:hint="eastAsia" w:ascii="宋体" w:hAnsi="宋体" w:eastAsia="宋体" w:cs="宋体"/>
                <w:i w:val="0"/>
                <w:iCs w:val="0"/>
                <w:color w:val="auto"/>
                <w:sz w:val="21"/>
                <w:szCs w:val="21"/>
                <w:u w:val="none"/>
                <w:lang w:val="en-US" w:eastAsia="zh-CN" w:bidi="ar"/>
              </w:rPr>
              <w:t xml:space="preserve">种视角转换。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#5、在3D课堂孪生界面中，通过课桌的颜色深浅表示学生参与互动的活跃程度，基于学生上台次数、举手次数、问答次数计算学生活跃程度，颜色越深则代表越活跃。</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#6、在3D课堂孪生界面中，支持点击课堂活跃热力图中的学生头像，查看该学生的师生互动视频片段，统计该学生在本节课的上台互动、举手次数、问答次数。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#7、在3D课堂孪生界面中，支持在地面上显示教师的巡堂轨迹，颜色越深代表停留时间越长。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系统根据教学内容自动生成师生问答、课堂互动、新课标落实三个维度的课堂反馈建议，可查看全部提问、符合知识性目标的提问、不合适的提问、提问优化建议、课堂互动建议、基于新课标的亮点和改进建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#9、系统支持统计课程时长、课堂中教师讲授时长、教师讲授字数、教师授课平均语速。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#10、系统自动统计教师授课、师生互动、小组讨论、课堂练习的时间分布情况。</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#11、系统自动统计教师授课、师生互动、小组讨论、课堂练习的时间分布情况。</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#12、系统将课堂中老师和学生的声音转写为文字，按照前后文自动切割为不同的片段；片段支持展开查看详细文字，支持跳转到文字段落对应的视频片段。</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#13、系统支持对语音转写中的师生问答进行自动识别，所有的提问自动高亮显示，支持将识别出的问答实录一键导出为云文档。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#14、系统支持对识别出的文字进行手动校准，支持对识别出的问答片段标注是否有效，被标注有效的问答片段，在播放器时间轴对应的时间点上会高亮显示。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#15、系统支持自动识别问题分类，按简单型、追问型、思考再答型、自问自答、无响应进行分类统计。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#16、系统支持点击问答模式对该类型的提问进行筛选，问答实录中显示对应文字明细，文字明细会按师生角色区分，并自动进行分段分句，支持跳转到文字段落对应的视频片段。</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、系统支持教师画面、学生画面双窗口显示，小窗口可自由拖动位置和自由切换；视频画面与互动课件一一对应，点击互动课件缩略图，可跳转至对应视频片段。</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18</w:t>
            </w:r>
            <w:r>
              <w:rPr>
                <w:rFonts w:hint="eastAsia" w:ascii="宋体" w:hAnsi="宋体" w:eastAsia="宋体" w:cs="宋体"/>
                <w:i w:val="0"/>
                <w:iCs w:val="0"/>
                <w:color w:val="auto"/>
                <w:sz w:val="21"/>
                <w:szCs w:val="21"/>
                <w:u w:val="none"/>
                <w:lang w:val="en-US" w:eastAsia="zh-CN" w:bidi="ar"/>
              </w:rPr>
              <w:t xml:space="preserve">、系统将课堂实录自动切割为关键片段，根据模式的选择播放指定类型的片段内容；片段中包含提问、回答、举手、上台、齐读、讨论的教学事件，播放进度条支持显示事件类型、定位播放功能。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19</w:t>
            </w:r>
            <w:r>
              <w:rPr>
                <w:rFonts w:hint="eastAsia" w:ascii="宋体" w:hAnsi="宋体" w:eastAsia="宋体" w:cs="宋体"/>
                <w:i w:val="0"/>
                <w:iCs w:val="0"/>
                <w:color w:val="auto"/>
                <w:sz w:val="21"/>
                <w:szCs w:val="21"/>
                <w:u w:val="none"/>
                <w:lang w:val="en-US" w:eastAsia="zh-CN" w:bidi="ar"/>
              </w:rPr>
              <w:t xml:space="preserve">、系统支持教学环节、课堂互动、完整回放</w:t>
            </w:r>
            <w:r>
              <w:rPr>
                <w:rFonts w:hint="eastAsia" w:ascii="宋体" w:hAnsi="宋体" w:cs="宋体"/>
                <w:i w:val="0"/>
                <w:iCs w:val="0"/>
                <w:strike w:val="0"/>
                <w:color w:val="auto"/>
                <w:sz w:val="21"/>
                <w:szCs w:val="21"/>
                <w:u w:val="none"/>
                <w:lang w:val="en-US" w:eastAsia="zh-CN" w:bidi="ar"/>
              </w:rPr>
              <w:t xml:space="preserve">多</w:t>
            </w:r>
            <w:r>
              <w:rPr>
                <w:rFonts w:hint="eastAsia" w:ascii="宋体" w:hAnsi="宋体" w:eastAsia="宋体" w:cs="宋体"/>
                <w:i w:val="0"/>
                <w:iCs w:val="0"/>
                <w:color w:val="auto"/>
                <w:sz w:val="21"/>
                <w:szCs w:val="21"/>
                <w:u w:val="none"/>
                <w:lang w:val="en-US" w:eastAsia="zh-CN" w:bidi="ar"/>
              </w:rPr>
              <w:t xml:space="preserve">种播放模式，可任意切换。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20</w:t>
            </w:r>
            <w:r>
              <w:rPr>
                <w:rFonts w:hint="eastAsia" w:ascii="宋体" w:hAnsi="宋体" w:eastAsia="宋体" w:cs="宋体"/>
                <w:i w:val="0"/>
                <w:iCs w:val="0"/>
                <w:color w:val="auto"/>
                <w:sz w:val="21"/>
                <w:szCs w:val="21"/>
                <w:u w:val="none"/>
                <w:lang w:val="en-US" w:eastAsia="zh-CN" w:bidi="ar"/>
              </w:rPr>
              <w:t xml:space="preserve">、系统支持将报告下载至本地，报告中包含基础数据、教学时间分配、讲学环节时间轴</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高频词语分析、提问数据统计、提问详情列表</w:t>
            </w:r>
            <w:r>
              <w:rPr>
                <w:rFonts w:hint="eastAsia" w:ascii="宋体" w:hAnsi="宋体" w:cs="宋体"/>
                <w:i w:val="0"/>
                <w:iCs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、系统支持计算本节课的教师行为占有率Rt、师生行为转换率Ch，基于本节课的Rt值、Ch值得出本节课的教学模式，教学模式包含：混合型、练习型、讲授型、对话型</w:t>
            </w:r>
            <w:r>
              <w:rPr>
                <w:rFonts w:hint="eastAsia" w:ascii="宋体" w:hAnsi="宋体" w:cs="宋体"/>
                <w:i w:val="0"/>
                <w:iCs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、系统支持以海报、二维码</w:t>
            </w:r>
            <w:r>
              <w:rPr>
                <w:rFonts w:hint="eastAsia" w:ascii="宋体" w:hAnsi="宋体" w:cs="宋体"/>
                <w:i w:val="0"/>
                <w:iCs w:val="0"/>
                <w:strike w:val="0"/>
                <w:color w:val="auto"/>
                <w:sz w:val="21"/>
                <w:szCs w:val="21"/>
                <w:u w:val="none"/>
                <w:lang w:val="en-US" w:eastAsia="zh-CN" w:bidi="ar"/>
              </w:rPr>
              <w:t xml:space="preserve">多种</w:t>
            </w:r>
            <w:r>
              <w:rPr>
                <w:rFonts w:hint="eastAsia" w:ascii="宋体" w:hAnsi="宋体" w:eastAsia="宋体" w:cs="宋体"/>
                <w:i w:val="0"/>
                <w:iCs w:val="0"/>
                <w:color w:val="auto"/>
                <w:sz w:val="21"/>
                <w:szCs w:val="21"/>
                <w:u w:val="none"/>
                <w:lang w:val="en-US" w:eastAsia="zh-CN" w:bidi="ar"/>
              </w:rPr>
              <w:t xml:space="preserve">方式分享给他人；</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、支持在移动端查看报告。</w:t>
            </w:r>
            <w:r>
              <w:rPr>
                <w:rFonts w:hint="eastAsia" w:ascii="宋体" w:hAnsi="宋体" w:eastAsia="宋体" w:cs="宋体"/>
                <w:i w:val="0"/>
                <w:iCs w:val="0"/>
                <w:color w:val="auto"/>
                <w:sz w:val="21"/>
                <w:szCs w:val="21"/>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6085"/>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F2-06</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物化生虚拟仿真实验测评软件（学生端）</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一、平台功能要求：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#1.平台支持多终端设备授权接入；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#2.虚拟仿真实验基于Maya3D、3DMax和Unity3D引擎软件制作；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#3.平台模块化设计，物理、化学、生物三学科均包含有实验模拟考试模块，物化学科增加实验教学模块。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二、实验教学模块功能要求：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#1.背包功能：根据实验情况从背包选择或抓取所需实验器材、实验用品；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#2.辅助线功能：清晰呈现物理实验的抽象概念，便于理解实验原理；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#3.数据记录功能：点击记录按钮自动记录物理实验操作数据；表格数据一目了然，方便观察，总结；</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#4.微观粒子展现功能：更清晰观察化学实验中化学反应现象、原理。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三、实验测评考试模块功能要求：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#1.仿真实验操作与学科学业水平考试操作步骤一致，模拟真实实验考试过程；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#2.倒计时功能：模拟考试时间限制，时间结束自动提交成绩（可提前主动提交）；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#3.AI测评功能：根据学生完成实验时的操作快速给出相应的得分，并能直接定位错误步骤和失分点；</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#4.AI数据分析功能：包含实验总览、实验统计、综合分析、分值曲线、错误分布等。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四、实验课程资源要求: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#1.实验教学课件资源要求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物理资源</w:t>
            </w:r>
            <w:r>
              <w:rPr>
                <w:rFonts w:hint="eastAsia" w:ascii="宋体" w:hAnsi="宋体" w:cs="宋体"/>
                <w:i w:val="0"/>
                <w:iCs w:val="0"/>
                <w:strike w:val="0"/>
                <w:color w:val="auto"/>
                <w:sz w:val="21"/>
                <w:szCs w:val="21"/>
                <w:u w:val="none"/>
                <w:lang w:val="en-US" w:eastAsia="zh-CN" w:bidi="ar"/>
              </w:rPr>
              <w:t xml:space="preserve">内容为</w:t>
            </w:r>
            <w:r>
              <w:rPr>
                <w:rFonts w:hint="eastAsia" w:ascii="宋体" w:hAnsi="宋体" w:eastAsia="宋体" w:cs="宋体"/>
                <w:i w:val="0"/>
                <w:iCs w:val="0"/>
                <w:color w:val="auto"/>
                <w:sz w:val="21"/>
                <w:szCs w:val="21"/>
                <w:u w:val="none"/>
                <w:lang w:val="en-US" w:eastAsia="zh-CN" w:bidi="ar"/>
              </w:rPr>
              <w:t xml:space="preserve">：1）用刻度尺测量长度、用停表测量时间2）测量物体运动的平均速度3）用温度计测量水的温度4）探究固体熔化时温度的变化规律5）探究水沸腾时温度变化的特点6）探究光反射时的规律7）探究平面镜成像的特点8）探究光折射时的特点9）探究凸透镜成像的规律10）用天平测量固体和液体的质量</w:t>
            </w:r>
            <w:r>
              <w:rPr>
                <w:rFonts w:hint="eastAsia" w:ascii="宋体" w:hAnsi="宋体" w:cs="宋体"/>
                <w:i w:val="0"/>
                <w:iCs w:val="0"/>
                <w:strike w:val="0"/>
                <w:color w:val="auto"/>
                <w:sz w:val="21"/>
                <w:szCs w:val="21"/>
                <w:u w:val="none"/>
                <w:lang w:val="en-US" w:eastAsia="zh-CN" w:bidi="ar"/>
              </w:rPr>
              <w:t xml:space="preserve">等类似课件</w:t>
            </w:r>
            <w:r>
              <w:rPr>
                <w:rFonts w:hint="eastAsia" w:ascii="宋体" w:hAnsi="宋体" w:eastAsia="宋体" w:cs="宋体"/>
                <w:i w:val="0"/>
                <w:iCs w:val="0"/>
                <w:strike w:val="0"/>
                <w:color w:val="auto"/>
                <w:sz w:val="21"/>
                <w:szCs w:val="21"/>
                <w:u w:val="none"/>
                <w:lang w:val="en-US" w:eastAsia="zh-CN" w:bidi="ar"/>
              </w:rPr>
              <w:t xml:space="preserve">。</w:t>
            </w:r>
            <w:r>
              <w:rPr>
                <w:rFonts w:hint="eastAsia" w:ascii="宋体" w:hAnsi="宋体" w:eastAsia="宋体" w:cs="宋体"/>
                <w:i w:val="0"/>
                <w:iCs w:val="0"/>
                <w:strike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化学资源</w:t>
            </w:r>
            <w:r>
              <w:rPr>
                <w:rFonts w:hint="eastAsia" w:ascii="宋体" w:hAnsi="宋体" w:cs="宋体"/>
                <w:i w:val="0"/>
                <w:iCs w:val="0"/>
                <w:strike w:val="0"/>
                <w:color w:val="auto"/>
                <w:sz w:val="21"/>
                <w:szCs w:val="21"/>
                <w:u w:val="none"/>
                <w:lang w:val="en-US" w:eastAsia="zh-CN" w:bidi="ar"/>
              </w:rPr>
              <w:t xml:space="preserve">内容为：</w:t>
            </w:r>
            <w:r>
              <w:rPr>
                <w:rFonts w:hint="eastAsia" w:ascii="宋体" w:hAnsi="宋体" w:eastAsia="宋体" w:cs="宋体"/>
                <w:i w:val="0"/>
                <w:iCs w:val="0"/>
                <w:color w:val="auto"/>
                <w:sz w:val="21"/>
                <w:szCs w:val="21"/>
                <w:u w:val="none"/>
                <w:lang w:val="en-US" w:eastAsia="zh-CN" w:bidi="ar"/>
              </w:rPr>
              <w:t xml:space="preserve">1）对蜡烛及其燃烧的探究2）测定空气里氧气的含量3）硫分别在空气和氧气里燃烧4）木炭分别在空气和氧气中燃烧5）铁丝在氧气中剧烈燃烧6）加热高锰酸钾制取氧气7）二氧化锰的催化作用8）分解过氧化氢制取氧气9）分子运动现象的实验10）过滤液体</w:t>
            </w:r>
            <w:r>
              <w:rPr>
                <w:rFonts w:hint="eastAsia" w:ascii="宋体" w:hAnsi="宋体" w:cs="宋体"/>
                <w:i w:val="0"/>
                <w:iCs w:val="0"/>
                <w:strike w:val="0"/>
                <w:color w:val="auto"/>
                <w:sz w:val="21"/>
                <w:szCs w:val="21"/>
                <w:u w:val="none"/>
                <w:lang w:val="en-US" w:eastAsia="zh-CN" w:bidi="ar"/>
              </w:rPr>
              <w:t xml:space="preserve">等类似课件。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生物资源</w:t>
            </w:r>
            <w:r>
              <w:rPr>
                <w:rFonts w:hint="eastAsia" w:ascii="宋体" w:hAnsi="宋体" w:cs="宋体"/>
                <w:i w:val="0"/>
                <w:iCs w:val="0"/>
                <w:strike w:val="0"/>
                <w:color w:val="auto"/>
                <w:sz w:val="21"/>
                <w:szCs w:val="21"/>
                <w:u w:val="none"/>
                <w:lang w:val="en-US" w:eastAsia="zh-CN" w:bidi="ar"/>
              </w:rPr>
              <w:t xml:space="preserve">内容为：</w:t>
            </w:r>
            <w:r>
              <w:rPr>
                <w:rFonts w:hint="eastAsia" w:ascii="宋体" w:hAnsi="宋体" w:eastAsia="宋体" w:cs="宋体"/>
                <w:i w:val="0"/>
                <w:iCs w:val="0"/>
                <w:color w:val="auto"/>
                <w:sz w:val="21"/>
                <w:szCs w:val="21"/>
                <w:u w:val="none"/>
                <w:lang w:val="en-US" w:eastAsia="zh-CN" w:bidi="ar"/>
              </w:rPr>
              <w:t xml:space="preserve">1) 显微镜的构造 2) 洋葱鳞片叶内表皮细胞 3) 植物细胞模式图 4）动物细胞模式图 5）动物的器官 6）动物的系统 7）草履虫 8）单子叶种子的结构 9）裸子植物的种子 10）花的结构 </w:t>
            </w:r>
            <w:r>
              <w:rPr>
                <w:rFonts w:hint="eastAsia" w:ascii="宋体" w:hAnsi="宋体" w:cs="宋体"/>
                <w:i w:val="0"/>
                <w:iCs w:val="0"/>
                <w:strike w:val="0"/>
                <w:color w:val="auto"/>
                <w:sz w:val="21"/>
                <w:szCs w:val="21"/>
                <w:u w:val="none"/>
                <w:lang w:val="en-US" w:eastAsia="zh-CN" w:bidi="ar"/>
              </w:rPr>
              <w:t xml:space="preserve">等类似课件。</w:t>
            </w:r>
            <w:r>
              <w:rPr>
                <w:rFonts w:hint="eastAsia" w:ascii="宋体" w:hAnsi="宋体" w:eastAsia="宋体" w:cs="宋体"/>
                <w:i w:val="0"/>
                <w:iCs w:val="0"/>
                <w:strike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#2.实验测评考试课件资源要求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物理资源</w:t>
            </w:r>
            <w:r>
              <w:rPr>
                <w:rFonts w:hint="eastAsia" w:ascii="宋体" w:hAnsi="宋体" w:cs="宋体"/>
                <w:i w:val="0"/>
                <w:iCs w:val="0"/>
                <w:strike w:val="0"/>
                <w:color w:val="auto"/>
                <w:sz w:val="21"/>
                <w:szCs w:val="21"/>
                <w:u w:val="none"/>
                <w:lang w:val="en-US" w:eastAsia="zh-CN" w:bidi="ar"/>
              </w:rPr>
              <w:t xml:space="preserve">内容为：</w:t>
            </w:r>
            <w:r>
              <w:rPr>
                <w:rFonts w:hint="eastAsia" w:ascii="宋体" w:hAnsi="宋体" w:eastAsia="宋体" w:cs="宋体"/>
                <w:i w:val="0"/>
                <w:iCs w:val="0"/>
                <w:color w:val="auto"/>
                <w:sz w:val="21"/>
                <w:szCs w:val="21"/>
                <w:u w:val="none"/>
                <w:lang w:val="en-US" w:eastAsia="zh-CN" w:bidi="ar"/>
              </w:rPr>
              <w:t xml:space="preserve">1）用托盘天平测量物体的质量2）测量固体和液体的密度3）用常见温度计测量温度4）用刻度尺测量长度、用表测量时间5）测量物体运动的速度6）用弹簧测力计测量力7）用电流表测量电流8）用电压表测量电压9）用电流表和电压表测量电阻10）探究水在沸腾前后温度变化的特点</w:t>
            </w:r>
            <w:r>
              <w:rPr>
                <w:rFonts w:hint="eastAsia" w:ascii="宋体" w:hAnsi="宋体" w:cs="宋体"/>
                <w:i w:val="0"/>
                <w:iCs w:val="0"/>
                <w:strike w:val="0"/>
                <w:color w:val="auto"/>
                <w:sz w:val="21"/>
                <w:szCs w:val="21"/>
                <w:u w:val="none"/>
                <w:lang w:val="en-US" w:eastAsia="zh-CN" w:bidi="ar"/>
              </w:rPr>
              <w:t xml:space="preserve">等类似课件。</w:t>
            </w:r>
            <w:r>
              <w:rPr>
                <w:rFonts w:hint="eastAsia" w:ascii="宋体" w:hAnsi="宋体" w:eastAsia="宋体" w:cs="宋体"/>
                <w:i w:val="0"/>
                <w:iCs w:val="0"/>
                <w:strike/>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化学资源</w:t>
            </w:r>
            <w:r>
              <w:rPr>
                <w:rFonts w:hint="eastAsia" w:ascii="宋体" w:hAnsi="宋体" w:cs="宋体"/>
                <w:i w:val="0"/>
                <w:iCs w:val="0"/>
                <w:strike w:val="0"/>
                <w:color w:val="auto"/>
                <w:sz w:val="21"/>
                <w:szCs w:val="21"/>
                <w:u w:val="none"/>
                <w:lang w:val="en-US" w:eastAsia="zh-CN" w:bidi="ar"/>
              </w:rPr>
              <w:t xml:space="preserve">内容为：</w:t>
            </w:r>
            <w:r>
              <w:rPr>
                <w:rFonts w:hint="eastAsia" w:ascii="宋体" w:hAnsi="宋体" w:eastAsia="宋体" w:cs="宋体"/>
                <w:i w:val="0"/>
                <w:iCs w:val="0"/>
                <w:color w:val="auto"/>
                <w:sz w:val="21"/>
                <w:szCs w:val="21"/>
                <w:u w:val="none"/>
                <w:lang w:val="en-US" w:eastAsia="zh-CN" w:bidi="ar"/>
              </w:rPr>
              <w:t xml:space="preserve">1）探究铁、铜、铝三种金属的活动顺序2）水的净化3）二氧化碳的制取和检验4）用双氧水制取氧气5）探究过氧化氢溶液制取氧气的条件6）配置一定溶质质量分数的溶液7）验证质量守恒定律8）酸碱中和反应9）粗盐提纯10）酸（稀硫酸）的化学性质</w:t>
            </w:r>
            <w:r>
              <w:rPr>
                <w:rFonts w:hint="eastAsia" w:ascii="宋体" w:hAnsi="宋体" w:cs="宋体"/>
                <w:i w:val="0"/>
                <w:iCs w:val="0"/>
                <w:strike w:val="0"/>
                <w:color w:val="auto"/>
                <w:sz w:val="21"/>
                <w:szCs w:val="21"/>
                <w:u w:val="none"/>
                <w:lang w:val="en-US" w:eastAsia="zh-CN" w:bidi="ar"/>
              </w:rPr>
              <w:t xml:space="preserve">等类似课件。</w:t>
            </w:r>
            <w:r>
              <w:rPr>
                <w:rFonts w:hint="eastAsia" w:ascii="宋体" w:hAnsi="宋体" w:eastAsia="宋体" w:cs="宋体"/>
                <w:i w:val="0"/>
                <w:iCs w:val="0"/>
                <w:strike/>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生物资源</w:t>
            </w:r>
            <w:r>
              <w:rPr>
                <w:rFonts w:hint="eastAsia" w:ascii="宋体" w:hAnsi="宋体" w:cs="宋体"/>
                <w:i w:val="0"/>
                <w:iCs w:val="0"/>
                <w:strike w:val="0"/>
                <w:color w:val="auto"/>
                <w:sz w:val="21"/>
                <w:szCs w:val="21"/>
                <w:u w:val="none"/>
                <w:lang w:val="en-US" w:eastAsia="zh-CN" w:bidi="ar"/>
              </w:rPr>
              <w:t xml:space="preserve">内容为：</w:t>
            </w:r>
            <w:r>
              <w:rPr>
                <w:rFonts w:hint="eastAsia" w:ascii="宋体" w:hAnsi="宋体" w:eastAsia="宋体" w:cs="宋体"/>
                <w:i w:val="0"/>
                <w:iCs w:val="0"/>
                <w:color w:val="auto"/>
                <w:sz w:val="21"/>
                <w:szCs w:val="21"/>
                <w:u w:val="none"/>
                <w:lang w:val="en-US" w:eastAsia="zh-CN" w:bidi="ar"/>
              </w:rPr>
              <w:t xml:space="preserve">1) 练习使用显微镜2) 制作并观察植物细胞的临时装片3) 观察人的口腔上皮细胞4) 观察叶片的结构5) 观察人体的基本组织6）观察种子的结构7) 观察根毛和根尖的结构8) 观察花的结构9) 用显微镜观察人血的永久涂片10) 观察小鱼尾鳍内血液的流动</w:t>
            </w:r>
            <w:r>
              <w:rPr>
                <w:rFonts w:hint="eastAsia" w:ascii="宋体" w:hAnsi="宋体" w:cs="宋体"/>
                <w:i w:val="0"/>
                <w:iCs w:val="0"/>
                <w:strike w:val="0"/>
                <w:color w:val="auto"/>
                <w:sz w:val="21"/>
                <w:szCs w:val="21"/>
                <w:u w:val="none"/>
                <w:lang w:val="en-US" w:eastAsia="zh-CN" w:bidi="ar"/>
              </w:rPr>
              <w:t xml:space="preserve">等类似课件。</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1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F3、基础设备</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F3-01</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技术参数同“A1-01 教师演示台”</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56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F3-02</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实验桌</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#1.规格：≥φ1400*H740mm；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#2.台面：采用</w:t>
            </w:r>
            <w:r>
              <w:rPr>
                <w:rFonts w:hint="eastAsia" w:ascii="宋体" w:hAnsi="宋体" w:eastAsia="宋体" w:cs="宋体"/>
                <w:i w:val="0"/>
                <w:iCs w:val="0"/>
                <w:strike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12.7mm实芯板台面；台体颜色：</w:t>
            </w:r>
            <w:r>
              <w:rPr>
                <w:rFonts w:hint="eastAsia" w:ascii="宋体" w:hAnsi="宋体" w:cs="宋体"/>
                <w:i w:val="0"/>
                <w:iCs w:val="0"/>
                <w:color w:val="auto"/>
                <w:sz w:val="21"/>
                <w:szCs w:val="21"/>
                <w:u w:val="none"/>
                <w:lang w:val="en-US" w:eastAsia="zh-CN" w:bidi="ar"/>
              </w:rPr>
              <w:t xml:space="preserve">可选</w:t>
            </w: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eastAsia="宋体" w:cs="宋体"/>
                <w:i w:val="0"/>
                <w:iCs w:val="0"/>
                <w:color w:val="auto"/>
                <w:sz w:val="21"/>
                <w:szCs w:val="21"/>
                <w:u w:val="none"/>
                <w:lang w:val="en-US" w:eastAsia="zh-CN" w:bidi="ar"/>
              </w:rPr>
              <w:t xml:space="preserve">                                                                                                                                                                                                        #3.台体结构：整个六角台体采用环保ABS材料一次成型。组合台体使用6根鱼骨状连接件榫卯连接6个长边，短边的梯形</w:t>
            </w:r>
            <w:r>
              <w:rPr>
                <w:rFonts w:hint="eastAsia" w:ascii="宋体" w:hAnsi="宋体" w:cs="宋体"/>
                <w:i w:val="0"/>
                <w:iCs w:val="0"/>
                <w:color w:val="auto"/>
                <w:sz w:val="21"/>
                <w:szCs w:val="21"/>
                <w:u w:val="none"/>
                <w:lang w:val="en-US" w:eastAsia="zh-CN" w:bidi="ar"/>
              </w:rPr>
              <w:t xml:space="preserve">框</w:t>
            </w:r>
            <w:r>
              <w:rPr>
                <w:rFonts w:hint="eastAsia" w:ascii="宋体" w:hAnsi="宋体" w:eastAsia="宋体" w:cs="宋体"/>
                <w:i w:val="0"/>
                <w:iCs w:val="0"/>
                <w:color w:val="auto"/>
                <w:sz w:val="21"/>
                <w:szCs w:val="21"/>
                <w:u w:val="none"/>
                <w:lang w:val="en-US" w:eastAsia="zh-CN" w:bidi="ar"/>
              </w:rPr>
              <w:t xml:space="preserve">架，可接触部位均做了圆弧状处理，下部呈内凹状给学生预留出足够的腿部空间。搭配上开门综合使用柜。每张桌体都带有书包斗可供学生存放书包等物品。书包斗的外部设有挂凳口；</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F3-03</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技术参数同“A1-04 实验凳”</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条</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F3-04</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教师椅</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技术参数同“A1-10 教师椅”</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243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F3-05</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智能系统控制箱</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470*</w:t>
            </w:r>
            <w:r>
              <w:rPr>
                <w:rFonts w:hint="eastAsia" w:ascii="宋体" w:hAnsi="宋体" w:cs="宋体"/>
                <w:i w:val="0"/>
                <w:iCs w:val="0"/>
                <w:strike w:val="0"/>
                <w:color w:val="auto"/>
                <w:sz w:val="21"/>
                <w:szCs w:val="21"/>
                <w:u w:val="none"/>
                <w:lang w:val="en-US" w:eastAsia="zh-CN" w:bidi="ar"/>
              </w:rPr>
              <w:t xml:space="preserve">200</w:t>
            </w:r>
            <w:r>
              <w:rPr>
                <w:rFonts w:hint="eastAsia" w:ascii="宋体" w:hAnsi="宋体" w:eastAsia="宋体" w:cs="宋体"/>
                <w:i w:val="0"/>
                <w:iCs w:val="0"/>
                <w:color w:val="auto"/>
                <w:sz w:val="21"/>
                <w:szCs w:val="21"/>
                <w:u w:val="none"/>
                <w:lang w:val="en-US" w:eastAsia="zh-CN" w:bidi="ar"/>
              </w:rPr>
              <w:t xml:space="preserve">*700mm；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控制箱设置总控制器一个、总漏电保护器1个、每分路一个漏电保护器、开关电源若干个，≥10寸屏一个、紧急开关一个，启动开关一个，运行指示灯一个。多种元器件组合成强大保护集成电路。保障220V电源具有漏电、短路、过载保护，保证安全可靠。低压输出驱动电压、学生电源交直流电压，具有智能保护系统，短路过载具有自动复位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#3.控制每点的电压，高压220V开关，低压交流0-30V/2A,1V每档，低压直流0-30V直流电源电压为0V-16.0V/2A、16.1V-30.0V/1A，分辨率为0.1V。具备自动过载保护功能；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#4.采用触摸屏控制；学生低压电源采用触摸屏操作方式，电压，电流液晶显示；</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16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F3-06</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顶部多模块电源供应装置</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#1.采用ABS材质，模具一体成型。模块内预留高压、低压位置；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#2.ABS原材料技术要求满足GB/T 1843-2008、GBT4207-2022标准检测：1)冲击强度（无缺口）：不破坏；试样未断裂，仅弯曲并穿过支座，可能兼有应力发白。2)拉伸强度：不破坏；试样未断裂，3)弯曲强度：不破坏；试样未断裂；4)阻燃+水平+垂直：符合V-0等级；5)漏电起痕：等级5级。</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F3-07</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模块储藏装置</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#1.采用ABS材质，模具一体成型。四周带氛围灯设计；</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438"/>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F3-08</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低压电源模块</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#1.教师主控型，学生低压电源都可接收主控电源发送的锁定信号，在锁定指示灯点亮后，学生接收老师输送的设定电源电压，教师锁定时,学生自己无法操作，这样可避免学生的误操作；可以分组或独立控制；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#2.学生电源采用耐磨、耐腐蚀、耐高温的PC亮光薄膜面板，可以随意设置电压，贴片元件生产技术，微电脑控制，采用液晶显示电源学生交直流电压；检测合格；</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#3.学生交流电源通过上下键0～30V电压，最小调节单元可达1V,额定电流2.5A；用数字万用表现场测试交流30V；检测合格；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#4.学生直流电源也是通过上下键选取，调节范围为0V～30V，分辨率可达0.1V,额定电流2A；检测合格；</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#5.一个吊舱上的2组低压电源应能组成正负电源，测试方法，把一组电源的负极用导线连到另一组电源的正极，组成正负电源。用数字万用表现场测试电压正负24V电压，串联48V；</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#6.一个吊舱有2个网络接口及两个USB接口；</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F3-09</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高压电源模块</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#1.采用220V，多功能安全插座；</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F3-10</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灯光照明系统</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技术参数同“A3-10 照明系统”</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F3-11</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举手系统</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技术参数同“A3-11 举手系统”</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54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F3-12</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智能升降机构</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#1.整体采用自动升降机构，内置卷线盘、铝合金转盘、U型导轮及直流减速电机，通过减速电机带动卷线盘实现正反转，U型导轮定位电缆线，装置设置有触碰开关，对电源升降起限位作用；</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F3-13</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供电线路</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技术参数同“A3-09 供电线路”</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F3-14</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安装支架</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#1.采用环氧树脂喷涂吊杆，横梁吊装方式，减少楼板承重，防止左右晃动，可进行上下、左右的平衡调节；</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F3-15</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智能云盒</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技术参数同“A1-12 智能云盒”</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F3-16</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课堂交互系统软件</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技术参数同“A1-13 课堂交互系统软件”</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F3-17</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互动音频处理器</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技术参数同“A1-14 互动音频处理器”</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F3-18</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全向麦克风</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技术参数同“A1-15 全向麦克风”</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F3-19</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指向麦克风</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技术参数同“A1-16 指向麦克风”</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F3-20</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音箱</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技术参数同“A1-17 音箱”</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F3-21</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跟踪摄像机</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技术参数同“A1-18 跟踪摄像机”</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F3-22</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云台摄像机</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技术参数同“A1-19 云台摄像机”</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F3-23</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互动电视机</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技术参数同“A1-20 互动电视机”</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F3-16</w:t>
            </w:r>
            <w:r/>
          </w:p>
        </w:tc>
        <w:tc>
          <w:tcPr>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文宣装修</w:t>
            </w:r>
            <w:r/>
          </w:p>
        </w:tc>
        <w:tc>
          <w:tcPr>
            <w:tcBorders>
              <w:top w:val="single" w:color="000000" w:sz="4" w:space="0"/>
              <w:left w:val="single" w:color="000000" w:sz="4" w:space="0"/>
              <w:bottom w:val="single" w:color="000000" w:sz="4" w:space="0"/>
              <w:right w:val="single" w:color="000000" w:sz="4" w:space="0"/>
            </w:tcBorders>
            <w:tcW w:w="322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技术参数同“A5-01 文宣装修”</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bl>
      <w:tblPr>
        <w:tblStyle w:val="72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63"/>
        <w:gridCol w:w="1259"/>
        <w:gridCol w:w="6352"/>
        <w:gridCol w:w="777"/>
        <w:gridCol w:w="811"/>
      </w:tblGrid>
      <w:tr>
        <w:trPr>
          <w:trHeight w:val="27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G、物理考评实验室</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G1、实验室基础设备配置</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G-0</w:t>
            </w:r>
            <w:r>
              <w:rPr>
                <w:rFonts w:hint="eastAsia" w:ascii="宋体" w:hAnsi="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技术参数同“A1-01 教师演示台”</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G-0</w:t>
            </w:r>
            <w:r>
              <w:rPr>
                <w:rFonts w:hint="eastAsia" w:ascii="宋体" w:hAnsi="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教师总控电源</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技术参数同“A1-02 教师总控电源”</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G-0</w:t>
            </w:r>
            <w:r>
              <w:rPr>
                <w:rFonts w:hint="eastAsia" w:ascii="宋体" w:hAnsi="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实验桌</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技术参数同“A1-03 实验桌”</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G-0</w:t>
            </w:r>
            <w:r>
              <w:rPr>
                <w:rFonts w:hint="eastAsia" w:ascii="宋体" w:hAnsi="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功能柱</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技术参数同“A1-05 功能柱”</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16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G-0</w:t>
            </w:r>
            <w:r>
              <w:rPr>
                <w:rFonts w:hint="eastAsia" w:ascii="宋体" w:hAnsi="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数控学生电源</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#1、采用数字键盘轻触操作、数码显示交直流电压电流,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#2、学生低压交流电源电压为1V-18V/3A、19V-36V/2A，分辨率为1V。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#3、学生低压直流电源电压为0V-16.0V/2A、16.1V-36.0V/1A，分辨率为0.1V。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#4、学生电源被教师设置及锁定后，学生不能设置，只能实验。</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学生电源特殊要求：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#1、具有电子举手管理功能，当学生需要提问时，学生按举手时，教师主控应该有语音播报哪组哪桌</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#2、学生电源既能独立操作，也能被教师控制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#3、具备自动过载保护功能，</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G-0</w:t>
            </w:r>
            <w:r>
              <w:rPr>
                <w:rFonts w:hint="eastAsia" w:ascii="宋体" w:hAnsi="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学生凳</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技术参数同“A1-04 实验凳”</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条</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G-</w:t>
            </w:r>
            <w:r>
              <w:rPr>
                <w:rFonts w:hint="eastAsia" w:ascii="宋体" w:hAnsi="宋体" w:cs="宋体"/>
                <w:i w:val="0"/>
                <w:iCs w:val="0"/>
                <w:color w:val="auto"/>
                <w:sz w:val="21"/>
                <w:szCs w:val="21"/>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教师椅</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技术参数同“A1-10 教师椅”</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54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G-</w:t>
            </w:r>
            <w:r>
              <w:rPr>
                <w:rFonts w:hint="eastAsia" w:ascii="宋体" w:hAnsi="宋体" w:cs="宋体"/>
                <w:i w:val="0"/>
                <w:iCs w:val="0"/>
                <w:color w:val="auto"/>
                <w:sz w:val="21"/>
                <w:szCs w:val="21"/>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技术参数同“C1-1</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 电气布线（地面以上部分）”</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G-</w:t>
            </w:r>
            <w:r>
              <w:rPr>
                <w:rFonts w:hint="eastAsia" w:ascii="宋体" w:hAnsi="宋体" w:cs="宋体"/>
                <w:i w:val="0"/>
                <w:iCs w:val="0"/>
                <w:color w:val="auto"/>
                <w:sz w:val="21"/>
                <w:szCs w:val="21"/>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智能云盒</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技术参数同“A1-12 智能云盒”</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G-</w:t>
            </w:r>
            <w:r>
              <w:rPr>
                <w:rFonts w:hint="eastAsia" w:ascii="宋体" w:hAnsi="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课堂交互系统软件</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技术参数同“A1-13 课堂交互系统软件”</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G-</w:t>
            </w:r>
            <w:r>
              <w:rPr>
                <w:rFonts w:hint="eastAsia" w:ascii="宋体" w:hAnsi="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互动音频处理器</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技术参数同“A1-14 互动音频处理器”</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G-1</w:t>
            </w:r>
            <w:r>
              <w:rPr>
                <w:rFonts w:hint="eastAsia" w:ascii="宋体" w:hAnsi="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全向麦克风</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技术参数同“A1-15 全向麦克风”</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G-1</w:t>
            </w:r>
            <w:r>
              <w:rPr>
                <w:rFonts w:hint="eastAsia" w:ascii="宋体" w:hAnsi="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指向麦克风</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技术参数同“A1-16 指向麦克风”</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G-1</w:t>
            </w:r>
            <w:r>
              <w:rPr>
                <w:rFonts w:hint="eastAsia" w:ascii="宋体" w:hAnsi="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音箱</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技术参数同“A1-17 音箱”</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G-1</w:t>
            </w:r>
            <w:r>
              <w:rPr>
                <w:rFonts w:hint="eastAsia" w:ascii="宋体" w:hAnsi="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跟踪摄像机</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技术参数同“A1-18 跟踪摄像机”</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G-1</w:t>
            </w:r>
            <w:r>
              <w:rPr>
                <w:rFonts w:hint="eastAsia" w:ascii="宋体" w:hAnsi="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云台摄像机</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技术参数同“A1-19 云台摄像机”</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G-</w:t>
            </w:r>
            <w:r>
              <w:rPr>
                <w:rFonts w:hint="eastAsia" w:ascii="宋体" w:hAnsi="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互动电视机</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技术参数同“A1-20 互动电视机”</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G2、智能控制系统</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G2-01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智能系统控制箱</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技术参数同“A2-01 智能系统控制箱”</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G2-02</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智能控制屏</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技术参数同“A2-02 智能控制屏”</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G2-03</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吊装控制系统</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技术参数同“A2-03 吊装控制系统”</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G2-04</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温湿度探测系统</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技术参数同“A2-04 温湿度探测系统”</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G3、顶部集成供给系统</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G3-01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吊装主体框架</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技术参数同“A3-01 吊装主体框架”</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G3-02</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主体保护罩</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技术参数同“A3-02 主体保护罩”</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G3-03</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吊装端头</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技术参数同“A3-03 吊装端头”</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G3-04</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智能摇臂升降系统</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技术参数同“A3-04 智能摇臂升降系统”</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G3-05</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集成功能模块</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技术参数同“A3-05 集成功能模块”</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G3-06</w:t>
            </w:r>
            <w:r/>
          </w:p>
        </w:tc>
        <w:tc>
          <w:tcPr>
            <w:tcBorders>
              <w:top w:val="single" w:color="000000" w:sz="4" w:space="0"/>
              <w:left w:val="single" w:color="000000" w:sz="4" w:space="0"/>
              <w:bottom w:val="single" w:color="000000" w:sz="4" w:space="0"/>
              <w:right w:val="single" w:color="000000" w:sz="4" w:space="0"/>
            </w:tcBorders>
            <w:tcW w:w="632"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电源供应模块</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32"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32"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G3-07</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保险模块</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技术参数同“A3-07 保险模块”</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G3-08</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急停装置</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技术参数同“A3-08 急停装置”</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G3-09</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供电线路</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技术参数同“A3-09 供电线路”</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G3-10</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照明系统</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技术参数同“A3-10 照明系统”</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G3-11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举手系统</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技术参数同“A3-11 举手系统”</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G3-12</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学生端分组控制系统</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技术参数同“A3-16 学生端分组控制系统”</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G3-13</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系统安装辅件</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技术参数同“A3-17 系统安装辅件”</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G4、实验室信息化系统相关配置及配套服务</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G4-01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实验台信息采集终端</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技术参数同“C4-01 实验台信息采集终端”</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G4-02</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考生终端软件</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技术参数同“C4-02 考生终端软件”</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G4-03</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路由器</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技术参数同“C4-03 路由器”</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G4-04</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考室监考系统</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技术参数同“C4-04 考室监考系统”</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G4-05</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交换机</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技术参数同“C4-05 交换机”</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G4-06</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机柜</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技术参数同“C4-06 机柜”</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G4-07</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电子目镜</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技术参数同“C4-07 电子目镜”</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G4-08</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考室网络摄像机</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技术参数同“C4-08 考室网络摄像机”</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G4-09</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配置辅材及施工</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技术参数同“C4-09 配置辅材及施工”</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G4-10</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文宣装修</w:t>
            </w:r>
            <w:r/>
          </w:p>
        </w:tc>
        <w:tc>
          <w:tcPr>
            <w:tcBorders>
              <w:top w:val="single" w:color="000000" w:sz="4" w:space="0"/>
              <w:left w:val="single" w:color="000000" w:sz="4" w:space="0"/>
              <w:bottom w:val="single" w:color="000000" w:sz="4" w:space="0"/>
              <w:right w:val="single" w:color="000000" w:sz="4" w:space="0"/>
            </w:tcBorders>
            <w:tcW w:w="318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技术参数同“A5-01 文宣装修”</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bl>
      <w:tblPr>
        <w:tblStyle w:val="72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229"/>
        <w:gridCol w:w="6382"/>
        <w:gridCol w:w="779"/>
        <w:gridCol w:w="807"/>
      </w:tblGrid>
      <w:tr>
        <w:trPr>
          <w:trHeight w:val="27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H、生物智能吊装实验室</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0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H1、实验室基础设备配置</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H1-01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技术参数同“A1-01 教师演示台”</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H1-02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教师总控电源</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技术参数同“A1-02 教师总控电源”</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H1-03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教师椅</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技术参数同“A1-10 教师椅”</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H1-04</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实验桌</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技术参数同“A1-03 实验桌”</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H1-05</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水槽柜</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技术参数同“A1-06 水槽柜”</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H1-06</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三联水嘴</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技术参数同“A1-09 三联水嘴”</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H1-07</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功能柱</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技术参数同“A1-05 功能柱”</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H1-08</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上水装置</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技术参数同“A1-07 上水装置”</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H1-09</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下水装置</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技术参数同“A1-08 下水装置”</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H1-10</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技术参数同“A1-04 实验凳”</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条</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H1-11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智能云盒</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技术参数同“A1-12 智能云盒”</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H1-12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课堂交互系统软件</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技术参数同“A1-13 课堂交互系统软件”</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H1-13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互动音频处理器</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技术参数同“A1-14 互动音频处理器”</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H1-14</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全向麦克风</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技术参数同“A1-15 全向麦克风”</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H1-15</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指向麦克风</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技术参数同“A1-16 指向麦克风”</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H1-16</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音箱</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技术参数同“A1-17 音箱”</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H1-17</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跟踪摄像机</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技术参数同“A1-18 跟踪摄像机”</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H1-18</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云台摄像机</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技术参数同“A1-19 云台摄像机”</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H1-19</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互动电视机</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技术参数同“A1-20 互动电视机”</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0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H2、智能控制系统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H2-01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智能系统控制箱</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技术参数同“A2-01 智能系统控制箱”</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H2-02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智能控制屏</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技术参数同“A2-02 智能控制屏”</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H2-03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吊装控制系统</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技术参数同“A2-03 吊装控制系统”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H2-04</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温湿度探测系统</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技术参数同“A2-04 温湿度探测系统”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0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H3、顶部集成供给系统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H3-01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吊装主体框架</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技术参数同“A3-01 吊装主体框架”</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H3-02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主体保护罩</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技术参数同“A3-02 主体保护罩”</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H3-03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吊装端头</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技术参数同“A3-03 吊装端头”</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H3-04</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智能摇臂升降系统</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技术参数同“A3-04 智能摇臂升降系统”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H3-05</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集成功能模块</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技术参数同“A3-05 集成功能模块”</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H3-06</w:t>
            </w:r>
            <w:r/>
          </w:p>
        </w:tc>
        <w:tc>
          <w:tcPr>
            <w:tcBorders>
              <w:top w:val="single" w:color="000000" w:sz="4" w:space="0"/>
              <w:left w:val="single" w:color="000000" w:sz="4" w:space="0"/>
              <w:bottom w:val="single" w:color="000000" w:sz="4" w:space="0"/>
              <w:right w:val="single" w:color="000000" w:sz="4" w:space="0"/>
            </w:tcBorders>
            <w:tcW w:w="617"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电源供应模块</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H3-07</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保险模块</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技术参数同“A3-07 保险模块”</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H3-08</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急停装置</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技术参数同“A3-08 急停装置”</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H3-09</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供电线路</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技术参数同“A3-09 供电线路”</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H3-10</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照明系统</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技术参数同“A3-10 照明系统”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H3-11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举手系统</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技术参数同“A3-11 举手系统”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H3-12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自动给排水系统</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技术参数同“A3-12 自动给排水系统”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H3-13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给排水接口</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技术参数同“A3-13 给排水接口”</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H3-14</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给水管路</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技术参数同“A3-14 给水管路”</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H3-15</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排水管路</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技术参数同“A3-15 排水管路”</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54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H3-16</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学生端分组控制系统</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技术参数同“A3-16 学生端分组控制系统”</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H3-17</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系统安装辅件</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技术参数同“A3-17 系统安装辅件”</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0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H4、文宣装修</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H4-01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文宣装修</w:t>
            </w:r>
            <w:r/>
          </w:p>
        </w:tc>
        <w:tc>
          <w:tcPr>
            <w:tcBorders>
              <w:top w:val="single" w:color="000000" w:sz="4" w:space="0"/>
              <w:left w:val="single" w:color="000000" w:sz="4" w:space="0"/>
              <w:bottom w:val="single" w:color="000000" w:sz="4" w:space="0"/>
              <w:right w:val="single" w:color="000000" w:sz="4" w:space="0"/>
            </w:tcBorders>
            <w:tcW w:w="320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技术参数同“A5-01 文宣装修”</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bl>
      <w:tblPr>
        <w:tblStyle w:val="72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257"/>
        <w:gridCol w:w="6372"/>
        <w:gridCol w:w="749"/>
        <w:gridCol w:w="819"/>
      </w:tblGrid>
      <w:tr>
        <w:trPr>
          <w:trHeight w:val="270"/>
        </w:trPr>
        <w:tc>
          <w:tcPr>
            <w:gridSpan w:val="5"/>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I、生物数字化探究</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tcW w:w="319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270"/>
        </w:trPr>
        <w:tc>
          <w:tcPr>
            <w:gridSpan w:val="3"/>
            <w:tcW w:w="421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I1、教师端无线带屏手持式传感器和配套实验器材</w:t>
            </w:r>
            <w:r/>
          </w:p>
        </w:tc>
        <w:tc>
          <w:tcPr>
            <w:tcW w:w="376"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W w:w="410"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I1-01</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便携式实验终端</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技术参数同“B1-01 便携式实验终端”</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I1-02</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数据采集器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技术参数同“B1-02 数据采集器”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I1-03</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无线蓝牙模块</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技术参数同“B1-03 无线蓝牙模块”</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I1-04</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温度传感器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技术参数同“B1-04 温度传感器”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I1-05</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气压传感器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技术参数同“B1-06 气压传感器”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I1-06</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pH传感器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技术参数同“B1-09 pH传感器”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I1-07</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电导率传感器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技术参数同“B1-10 电导率传感器”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I1-08</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氧气传感器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技术参数同“B1-11 氧气传感器”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I1-09</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二氧化碳传感器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技术参数同“B1-12 二氧化碳传感器”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616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I1-10</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心电图传感器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#1、量程：±5mV，分辨率：0.01mV。</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#2、传感器带有3根不同颜色的电极导线，用于测量人体心电图的波形图形；手持式技术，便于直接观察数据；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#3、无需实体功能按键或触摸笔，需融合传感器、内置</w:t>
            </w:r>
            <w:r>
              <w:rPr>
                <w:rFonts w:hint="eastAsia" w:ascii="宋体" w:hAnsi="宋体" w:cs="宋体"/>
                <w:i w:val="0"/>
                <w:iCs w:val="0"/>
                <w:strike w:val="0"/>
                <w:color w:val="auto"/>
                <w:sz w:val="21"/>
                <w:szCs w:val="21"/>
                <w:u w:val="none"/>
                <w:lang w:val="en-US" w:eastAsia="zh-CN" w:bidi="ar"/>
              </w:rPr>
              <w:t xml:space="preserve">可视</w:t>
            </w:r>
            <w:r>
              <w:rPr>
                <w:rFonts w:hint="eastAsia" w:ascii="宋体" w:hAnsi="宋体" w:eastAsia="宋体" w:cs="宋体"/>
                <w:i w:val="0"/>
                <w:iCs w:val="0"/>
                <w:color w:val="auto"/>
                <w:sz w:val="21"/>
                <w:szCs w:val="21"/>
                <w:u w:val="none"/>
                <w:lang w:val="en-US" w:eastAsia="zh-CN" w:bidi="ar"/>
              </w:rPr>
              <w:t xml:space="preserve">电容触摸屏、内置大容量可充电锂电池/蜂鸣器/振动马达为一体化设计，不接受分体拼接模式；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#4、配置</w:t>
            </w:r>
            <w:r>
              <w:rPr>
                <w:rFonts w:hint="eastAsia" w:ascii="宋体" w:hAnsi="宋体" w:cs="宋体"/>
                <w:i w:val="0"/>
                <w:iCs w:val="0"/>
                <w:strike w:val="0"/>
                <w:color w:val="auto"/>
                <w:sz w:val="21"/>
                <w:szCs w:val="21"/>
                <w:u w:val="none"/>
                <w:lang w:val="en-US" w:eastAsia="zh-CN" w:bidi="ar"/>
              </w:rPr>
              <w:t xml:space="preserve">可视</w:t>
            </w:r>
            <w:r>
              <w:rPr>
                <w:rFonts w:hint="eastAsia" w:ascii="宋体" w:hAnsi="宋体" w:eastAsia="宋体" w:cs="宋体"/>
                <w:i w:val="0"/>
                <w:iCs w:val="0"/>
                <w:color w:val="auto"/>
                <w:sz w:val="21"/>
                <w:szCs w:val="21"/>
                <w:u w:val="none"/>
                <w:lang w:val="en-US" w:eastAsia="zh-CN" w:bidi="ar"/>
              </w:rPr>
              <w:t xml:space="preserve">高清电容触摸屏与振动警告功能单元，支持多点触摸方式；传感器自带滚轮调节键，通过滚轮可调节心电图采集频率；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屏幕上支持曲线、仪表、表格、数字等多种显示方式，一键顺滑切换；具备曲线对比功能，可保留每次采样数据，可同时显示多组数据曲线；屏幕上可选择自动、手动采样模式，自由调节采样频率、区间，可根据实验教学要求采样取值；屏幕上可选择usb有线连接方式和蓝牙无线连接方式，内置蓝牙通讯模块，可根据实验教学需要切换工作模式；屏幕上可自定义逻辑指令，并执行一个或多个蜂鸣、振动、延时、记录、停止采集等指令；屏幕上可直接新建实验、保存实验、删除实验等；可直接显示电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#6、支持快速开关机功能；支持智能节能，自动关机。</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675"/>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I1-11</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心率传感器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#1、量程：0～250bpm。指夹式心率探头。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#2、用于测量人体的心率值；手持式技术，便于直接观察数据；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#3、无需实体功能按键或触摸笔，需融合传感器、内置</w:t>
            </w:r>
            <w:r>
              <w:rPr>
                <w:rFonts w:hint="eastAsia" w:ascii="宋体" w:hAnsi="宋体" w:cs="宋体"/>
                <w:i w:val="0"/>
                <w:iCs w:val="0"/>
                <w:strike w:val="0"/>
                <w:color w:val="auto"/>
                <w:sz w:val="21"/>
                <w:szCs w:val="21"/>
                <w:u w:val="none"/>
                <w:lang w:val="en-US" w:eastAsia="zh-CN" w:bidi="ar"/>
              </w:rPr>
              <w:t xml:space="preserve">可视</w:t>
            </w:r>
            <w:r>
              <w:rPr>
                <w:rFonts w:hint="eastAsia" w:ascii="宋体" w:hAnsi="宋体" w:eastAsia="宋体" w:cs="宋体"/>
                <w:i w:val="0"/>
                <w:iCs w:val="0"/>
                <w:color w:val="auto"/>
                <w:sz w:val="21"/>
                <w:szCs w:val="21"/>
                <w:u w:val="none"/>
                <w:lang w:val="en-US" w:eastAsia="zh-CN" w:bidi="ar"/>
              </w:rPr>
              <w:t xml:space="preserve">电容触摸屏、内置大容量可充电锂电池/蜂鸣器/振动马达为一体化设计，不接受分体拼接模式；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#4、配置</w:t>
            </w:r>
            <w:r>
              <w:rPr>
                <w:rFonts w:hint="eastAsia" w:ascii="宋体" w:hAnsi="宋体" w:cs="宋体"/>
                <w:i w:val="0"/>
                <w:iCs w:val="0"/>
                <w:strike w:val="0"/>
                <w:color w:val="auto"/>
                <w:sz w:val="21"/>
                <w:szCs w:val="21"/>
                <w:u w:val="none"/>
                <w:lang w:val="en-US" w:eastAsia="zh-CN" w:bidi="ar"/>
              </w:rPr>
              <w:t xml:space="preserve">可视</w:t>
            </w:r>
            <w:r>
              <w:rPr>
                <w:rFonts w:hint="eastAsia" w:ascii="宋体" w:hAnsi="宋体" w:eastAsia="宋体" w:cs="宋体"/>
                <w:i w:val="0"/>
                <w:iCs w:val="0"/>
                <w:color w:val="auto"/>
                <w:sz w:val="21"/>
                <w:szCs w:val="21"/>
                <w:u w:val="none"/>
                <w:lang w:val="en-US" w:eastAsia="zh-CN" w:bidi="ar"/>
              </w:rPr>
              <w:t xml:space="preserve">高清电容触摸屏与振动警告功能单元，支持多点触摸方式；传感器自带滚轮调节键，通过滚轮可调节人体心率采集频率；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屏幕上支持曲线、仪表、表格、数字等多种显示方式，一键顺滑切换；具备曲线对比功能，可保留每次采样数据，可同时显示多组数据曲线；屏幕上可选自动、手动采样模式，自由调节采样频率、区间，可根据实验教学要求采样取值；屏幕上可选usb有线连接方式和蓝牙无线连接方式，内置蓝牙通讯模块，可根据实验教学需要切换工作模式；屏幕上可自定义逻辑指令，并执行一个或多个蜂鸣、振动、延时、记录、停止采集等指令；屏幕上可直接新建实验、保存实验、删除实验等；可直接显示电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#6、支持快速开关机功能；支持智能节能，自动关机。</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351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I1-12</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呼吸率传感器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#1、量程：0～200Time/min，分辨率：1Time/min。</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#2、用于测量呼吸频率；手持式技术，便于直接观察数据；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#3、无需实体功能按键或触摸笔，需融合传感器、内置</w:t>
            </w:r>
            <w:r>
              <w:rPr>
                <w:rFonts w:hint="eastAsia" w:ascii="宋体" w:hAnsi="宋体" w:cs="宋体"/>
                <w:i w:val="0"/>
                <w:iCs w:val="0"/>
                <w:strike w:val="0"/>
                <w:color w:val="auto"/>
                <w:sz w:val="21"/>
                <w:szCs w:val="21"/>
                <w:u w:val="none"/>
                <w:lang w:val="en-US" w:eastAsia="zh-CN" w:bidi="ar"/>
              </w:rPr>
              <w:t xml:space="preserve">可视</w:t>
            </w:r>
            <w:r>
              <w:rPr>
                <w:rFonts w:hint="eastAsia" w:ascii="宋体" w:hAnsi="宋体" w:eastAsia="宋体" w:cs="宋体"/>
                <w:i w:val="0"/>
                <w:iCs w:val="0"/>
                <w:color w:val="auto"/>
                <w:sz w:val="21"/>
                <w:szCs w:val="21"/>
                <w:u w:val="none"/>
                <w:lang w:val="en-US" w:eastAsia="zh-CN" w:bidi="ar"/>
              </w:rPr>
              <w:t xml:space="preserve">电容触摸屏、内置大容量可充电锂电池/蜂鸣器/振动马达为一体化设计，不接受分体拼接模式；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#4、配置</w:t>
            </w:r>
            <w:r>
              <w:rPr>
                <w:rFonts w:hint="eastAsia" w:ascii="宋体" w:hAnsi="宋体" w:cs="宋体"/>
                <w:i w:val="0"/>
                <w:iCs w:val="0"/>
                <w:strike w:val="0"/>
                <w:color w:val="auto"/>
                <w:sz w:val="21"/>
                <w:szCs w:val="21"/>
                <w:u w:val="none"/>
                <w:lang w:val="en-US" w:eastAsia="zh-CN" w:bidi="ar"/>
              </w:rPr>
              <w:t xml:space="preserve">可视</w:t>
            </w:r>
            <w:r>
              <w:rPr>
                <w:rFonts w:hint="eastAsia" w:ascii="宋体" w:hAnsi="宋体" w:eastAsia="宋体" w:cs="宋体"/>
                <w:i w:val="0"/>
                <w:iCs w:val="0"/>
                <w:color w:val="auto"/>
                <w:sz w:val="21"/>
                <w:szCs w:val="21"/>
                <w:u w:val="none"/>
                <w:lang w:val="en-US" w:eastAsia="zh-CN" w:bidi="ar"/>
              </w:rPr>
              <w:t xml:space="preserve">高清电容触摸屏与振动警告功能单元，支持多点触摸方式；传感器自带滚轮调节键，通过滚轮可调节呼吸率采集频率；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屏幕上支持曲线、仪表、表格、数字等多种显示方式，一键顺滑切换；具备曲线对比功能，可保留每次采样数据，可同时显示多组数据曲线；屏幕上可选自动、手动采样模式，自由调节采样频率、区间，可根据实验教学要求采样取值；屏幕上可选usb有线连接方式和蓝牙无线连接方式，内置蓝牙通讯模块，可根据实验教学需要切换工作模式；屏幕上可自定义逻辑指令，并执行一个或多个蜂鸣、振动、延时、记录、停止采集等指令；屏幕上可直接新建实验、保存实验、删除实验等；可直接显示电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#6、支持快速开关机功能；支持智能节能，自动关机。</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378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I1-13</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温湿一体传感器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#1、湿度量程：0%～100%RH，分辨率：0.05%；温度量程：-40℃～125℃，分辨率：0.01℃；一个传感器可同时测量两种数据。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#2、温湿度一体式的探头作为测温元件，可同时测量环境的温度及相对湿度；手持式技术，便于直接观察数据；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#3、无需实体功能按键或触摸笔，需融合传感器、内置</w:t>
            </w:r>
            <w:r>
              <w:rPr>
                <w:rFonts w:hint="eastAsia" w:ascii="宋体" w:hAnsi="宋体" w:cs="宋体"/>
                <w:i w:val="0"/>
                <w:iCs w:val="0"/>
                <w:strike w:val="0"/>
                <w:color w:val="auto"/>
                <w:sz w:val="21"/>
                <w:szCs w:val="21"/>
                <w:u w:val="none"/>
                <w:lang w:val="en-US" w:eastAsia="zh-CN" w:bidi="ar"/>
              </w:rPr>
              <w:t xml:space="preserve">可视</w:t>
            </w:r>
            <w:r>
              <w:rPr>
                <w:rFonts w:hint="eastAsia" w:ascii="宋体" w:hAnsi="宋体" w:eastAsia="宋体" w:cs="宋体"/>
                <w:i w:val="0"/>
                <w:iCs w:val="0"/>
                <w:color w:val="auto"/>
                <w:sz w:val="21"/>
                <w:szCs w:val="21"/>
                <w:u w:val="none"/>
                <w:lang w:val="en-US" w:eastAsia="zh-CN" w:bidi="ar"/>
              </w:rPr>
              <w:t xml:space="preserve">电容触摸屏、内置大容量可充电锂电池/蜂鸣器/振动马达为一体化设计，不接受分体拼接模式；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#4、配置</w:t>
            </w:r>
            <w:r>
              <w:rPr>
                <w:rFonts w:hint="eastAsia" w:ascii="宋体" w:hAnsi="宋体" w:cs="宋体"/>
                <w:i w:val="0"/>
                <w:iCs w:val="0"/>
                <w:strike w:val="0"/>
                <w:color w:val="auto"/>
                <w:sz w:val="21"/>
                <w:szCs w:val="21"/>
                <w:u w:val="none"/>
                <w:lang w:val="en-US" w:eastAsia="zh-CN" w:bidi="ar"/>
              </w:rPr>
              <w:t xml:space="preserve">可视</w:t>
            </w:r>
            <w:r>
              <w:rPr>
                <w:rFonts w:hint="eastAsia" w:ascii="宋体" w:hAnsi="宋体" w:eastAsia="宋体" w:cs="宋体"/>
                <w:i w:val="0"/>
                <w:iCs w:val="0"/>
                <w:color w:val="auto"/>
                <w:sz w:val="21"/>
                <w:szCs w:val="21"/>
                <w:u w:val="none"/>
                <w:lang w:val="en-US" w:eastAsia="zh-CN" w:bidi="ar"/>
              </w:rPr>
              <w:t xml:space="preserve">高清电容触摸屏与振动警告功能单元，支持多点触摸方式；传感器自带滚轮调节键，通过滚轮可调节湿度/温度采集频率；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屏幕上支持曲线、仪表、表格、数字等多种显示方式，一键顺滑切换；具备曲线对比功能，可保留每次采样数据，可同时显示多组数据曲线；屏幕上可选择自动、手动采样模式，自由调节采样频率、区间，可根据实验教学要求采样取值；屏幕上可选择usb有线连接方式和蓝牙无线连接方式，内置蓝牙通讯模块，可根据实验教学需要切换工作模式；屏幕上可自定义逻辑指令，并执行一个或多个蜂鸣、振动、延时、记录、停止采集等指令；屏幕上可直接新建实验、保存实验、删除实验等；可直接显示电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#6、支持快速开关机功能；支持智能节能，自动关机。</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I1-14</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微电流传感器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技术参数同“E1-12 微电流传感器”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35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I1-15</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酒精传感器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#1、量程：20～1000ppm，分辨率：1ppm。用于测量呼出气体或者化学反应中气体酒精含量。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#2、传感器支持Type-C直连有线通讯、采集器多路有线通讯、无线通讯、独立数据显示</w:t>
            </w:r>
            <w:r>
              <w:rPr>
                <w:rFonts w:hint="eastAsia" w:ascii="宋体" w:hAnsi="宋体" w:cs="宋体"/>
                <w:i w:val="0"/>
                <w:iCs w:val="0"/>
                <w:strike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工作方式。传感器自带M5螺纹孔，可实现与多种数字化实验装置的组装和固定。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08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I1-16</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溶解氧传感器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#1、量程：0～20mg/L，分辨率：0.01mg/L。用于测量溶液中溶解氧含量变化。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#2、传感器数据传输接口为智能Type-C接口，支持正反盲插，即插即用，自动识别；</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#3、支持与智能数字实验终端的Type-C接口嵌合卡口连接，也可与其USB接口连接；支持与数据采集器的USB接口连接，多个传感器并行采集实验数据；还支持与普通计算机USB口直接连接，传输数字化实验数据。</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35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I1-17</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色度计传感器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#1、量程：0%～100%，分辨率： 0.1% 。三波长光源（R、G、B）测量，可采集不同深浅颜色溶液的变化及速率。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#2、传感器支持Type-C直连有线通讯、采集器多路有线通讯、无线通讯、独立数据显示</w:t>
            </w:r>
            <w:r>
              <w:rPr>
                <w:rFonts w:hint="eastAsia" w:ascii="宋体" w:hAnsi="宋体" w:cs="宋体"/>
                <w:i w:val="0"/>
                <w:iCs w:val="0"/>
                <w:strike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工作方式。传感器数据传输接口为智能Type-C接口，支持正反盲插，即插即用，自动识别，数据传输稳定。传感器与数据采集终端（智能数字实验终端或便携式实验终端或笔记本电脑）的USB口直接连接时，无需数据采集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I1-18</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二氧化硫传感器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技术参数同“B1-14 二氧化硫传感器”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199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I1-19</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数字化探究实验软件</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#1、符合最新初中生物教学装备配置标准，满足基础课程、探究性学习、创新实验教学的需求。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#2、软件支持所有已正式发布的同系列传感器，支持即插即用，自动识别所有传感器的类型、量程与接入的通道序号；</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#3、支持1~12路相同或不同的传感器并行采集；支持新建实验模板，支持打开预设实验模板快速进入课标实验，支持保存实验模板；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#4、支持设置采样频率，支持限时采集、循环采集、连续采集和手工采集等多种采集方式；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#5、具有曲线、仪表、表格、数字等多种显示方式，显示框可随意调节大小及位置；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#6、每个实验能多次重复，在同一坐标轴内保存多次采集结果，便于数据比较和分析；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#7、可自定义设置数据名称、单位、颜色、数据点形状；可自定义设置数值显示范围；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#8、可自由定义坐标轴，可自由放大、缩小、全景显示坐标轴，支持曲线的函数拟合、积分、切线、统计等，对实验结果进行充分分析并发现实验规律；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#9、可设置采集数据高于或者低于设定的数值时发出多种形式的警告，构建自动控制系统；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#10、软件可模拟信号发生器，产生2组独立的正弦波或者脉冲波信号；</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#11、软件可采集音频，具有录音功能和录音播放功能，录音时间可调；</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#12、软件可录制实验数据采集过程并回放，播放速率可调；</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#13、应用平台</w:t>
            </w:r>
            <w:r>
              <w:rPr>
                <w:rFonts w:hint="eastAsia" w:ascii="宋体" w:hAnsi="宋体" w:cs="宋体"/>
                <w:i w:val="0"/>
                <w:iCs w:val="0"/>
                <w:color w:val="auto"/>
                <w:sz w:val="21"/>
                <w:szCs w:val="21"/>
                <w:u w:val="none"/>
                <w:lang w:val="en-US" w:eastAsia="zh-CN" w:bidi="ar"/>
              </w:rPr>
              <w:t xml:space="preserve">支持</w:t>
            </w:r>
            <w:r>
              <w:rPr>
                <w:rFonts w:hint="eastAsia" w:ascii="宋体" w:hAnsi="宋体" w:eastAsia="宋体" w:cs="宋体"/>
                <w:i w:val="0"/>
                <w:iCs w:val="0"/>
                <w:color w:val="auto"/>
                <w:sz w:val="21"/>
                <w:szCs w:val="21"/>
                <w:u w:val="none"/>
                <w:lang w:val="en-US" w:eastAsia="zh-CN" w:bidi="ar"/>
              </w:rPr>
              <w:t xml:space="preserve">：WindowsXP、Windows7、Windows8、Windows10、Windows11等。</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I1-20</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铝合金箱及附件</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技术参数同“B1-18 铝合金箱及附件”</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I1-21</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多向转接头</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技术参数同“B1-24 多向转接头”</w:t>
            </w:r>
            <w:r/>
          </w:p>
        </w:tc>
        <w:tc>
          <w:tcPr>
            <w:tcW w:w="37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41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I1-22</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气液相密封实验器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技术参数同“B1-27 气液相密封实验器”</w:t>
            </w:r>
            <w:r/>
          </w:p>
        </w:tc>
        <w:tc>
          <w:tcPr>
            <w:tcW w:w="37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41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I1-23</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光合作用实验箱</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#1、用于中学生物－水陆生植物的光合作用、蒸腾作用，种子的萌发放热，酵母菌的呼吸作用，酶的特性实验。配合温度、湿度、氧气、CO2等传感器使用。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#2、透明亚克力密闭容器，2孔盖子，含橡胶塞1套。</w:t>
            </w:r>
            <w:r/>
          </w:p>
        </w:tc>
        <w:tc>
          <w:tcPr>
            <w:tcW w:w="37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41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I1-24</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模拟肺呼吸实验器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#1、用于中学生物“人体的呼吸”。通过模型模拟呼吸，探究胸廓的变化与呼吸的关系；配合气压传感器使用，可探究呼吸时肺部压强的变化。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#2、由透明塑料容器、弹性橡胶底座、肺叶模型、鲁尔接头、三通阀、橡胶管等部件组成，可以直观观察到内部仿人肺部的呼吸运动时的肺叶的张吸效果。</w:t>
            </w:r>
            <w:r/>
          </w:p>
        </w:tc>
        <w:tc>
          <w:tcPr>
            <w:tcW w:w="37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41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I1-25</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多功能电极支架</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技术参数同“B1-28 多功能电极支架”</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41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W w:w="631"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W w:w="319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I2、学生端传感器和配套实验器材</w:t>
            </w:r>
            <w:r/>
          </w:p>
        </w:tc>
        <w:tc>
          <w:tcPr>
            <w:tcW w:w="376" w:type="pct"/>
            <w:vAlign w:val="center"/>
            <w:textDirection w:val="lrTb"/>
            <w:noWrap/>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W w:w="410" w:type="pct"/>
            <w:vAlign w:val="center"/>
            <w:textDirection w:val="lrTb"/>
            <w:noWrap/>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I2-01</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便携式实验终端</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技术参数同“B1-01 便携式实验终端”</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I2-02</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数据采集器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技术参数同“B1-02 数据采集器”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I2-03</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温度传感器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技术参数同“B2-03 温度传感器”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I2-04</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气压传感器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技术参数同“B2-05 气压传感器”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I2-05</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湿度传感器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技术参数同“B2-06 湿度传感器”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I2-06</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pH传感器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技术参数同“B2-07 pH传感器”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I2-07</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电导率传感器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技术参数同“B2-08 电导率传感器”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I2-08</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氧气传感器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技术参数同“B2-09 氧气传感器”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I2-09</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二氧化碳传感器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技术参数同“B2-10 二氧化碳传感器”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108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I2-10</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心率传感器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#1、量程：0～250bpm。指夹式心率探头，用于测量人体的心率值。</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#2、传感器数据传输接口为智能Type-C接口，支持正反盲插，即插即用，自动识别；</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#3、支持与智能数字实验终端的Type-C接口嵌合卡口连接，也可与其USB接口连接；支持与数据采集器的USB接口连接，多个传感器并行采集实验数据；还支持与普通计算机USB口直接连接，传输数字化实验数据。</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I2-11</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色度计传感器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技术参数同“I1-17 色度计传感器”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I2-12</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微电流传感器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技术参数同“E2-07 微电流传感器”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I2-13</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铝合金箱及附件</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技术参数同“B1-18 铝合金箱及附件”</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4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I2-14</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多向转接头</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技术参数同“B1-24 多向转接头”</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41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I2-15</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气液相密封实验器</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技术参数同“B1-27 气液相密封实验器”</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41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I2-16</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光合作用实验箱</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技术参数同“I1-23 光合作用实验箱”</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41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I2-17</w:t>
            </w:r>
            <w:r/>
          </w:p>
        </w:tc>
        <w:tc>
          <w:tcPr>
            <w:tcW w:w="63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多功能电极支架</w:t>
            </w:r>
            <w:r/>
          </w:p>
        </w:tc>
        <w:tc>
          <w:tcPr>
            <w:tcW w:w="319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技术参数同“B1-28 多功能电极支架”</w:t>
            </w:r>
            <w:r/>
          </w:p>
        </w:tc>
        <w:tc>
          <w:tcPr>
            <w:tcW w:w="3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W w:w="41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bl>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bl>
      <w:tblPr>
        <w:tblStyle w:val="727"/>
        <w:tblW w:w="5040" w:type="pct"/>
        <w:tblInd w:w="-8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84"/>
        <w:gridCol w:w="1239"/>
        <w:gridCol w:w="6332"/>
        <w:gridCol w:w="747"/>
        <w:gridCol w:w="840"/>
      </w:tblGrid>
      <w:tr>
        <w:trPr>
          <w:trHeight w:val="27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J、生物考评实验室</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J1、实验室基础设备配置</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J1-0</w:t>
            </w:r>
            <w:r>
              <w:rPr>
                <w:rFonts w:hint="eastAsia" w:ascii="宋体" w:hAnsi="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教师演示台</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技术参数同“A1-01 教师演示台”</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J1-0</w:t>
            </w:r>
            <w:r>
              <w:rPr>
                <w:rFonts w:hint="eastAsia" w:ascii="宋体" w:hAnsi="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教师总控电源</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技术参数同“A1-02 教师总控电源”</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J1-0</w:t>
            </w:r>
            <w:r>
              <w:rPr>
                <w:rFonts w:hint="eastAsia" w:ascii="宋体" w:hAnsi="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教师椅</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技术参数同“A1-12 教师椅”</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J1-0</w:t>
            </w:r>
            <w:r>
              <w:rPr>
                <w:rFonts w:hint="eastAsia" w:ascii="宋体" w:hAnsi="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实验桌</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技术参数同“A1-03 实验桌”</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J1-</w:t>
            </w:r>
            <w:r>
              <w:rPr>
                <w:rFonts w:hint="eastAsia" w:ascii="宋体" w:hAnsi="宋体" w:cs="宋体"/>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功能柱</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技术参数同“A1-05 功能柱”</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56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J1-0</w:t>
            </w:r>
            <w:r>
              <w:rPr>
                <w:rFonts w:hint="eastAsia" w:ascii="宋体" w:hAnsi="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学生安全电源</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#1、学生交流2V到24V输出，电流2A，自动过载保护，自动恢复。电压2V每档，由教师集中控制。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#2、学生直流2V到24V输出，电流2A，自动过载保护，自动恢复。由教师集中控制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#3、220V国标五孔插座，保险丝保护，工作指示。</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J1-</w:t>
            </w:r>
            <w:r>
              <w:rPr>
                <w:rFonts w:hint="eastAsia" w:ascii="宋体" w:hAnsi="宋体" w:cs="宋体"/>
                <w:i w:val="0"/>
                <w:iCs w:val="0"/>
                <w:color w:val="auto"/>
                <w:sz w:val="21"/>
                <w:szCs w:val="21"/>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实验凳</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技术参数同“A1-04 实验凳”</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条</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J1-</w:t>
            </w:r>
            <w:r>
              <w:rPr>
                <w:rFonts w:hint="eastAsia" w:ascii="宋体" w:hAnsi="宋体" w:cs="宋体"/>
                <w:i w:val="0"/>
                <w:iCs w:val="0"/>
                <w:color w:val="auto"/>
                <w:sz w:val="21"/>
                <w:szCs w:val="21"/>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水槽柜</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技术参数同“A1-06 水槽柜”</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J1-</w:t>
            </w:r>
            <w:r>
              <w:rPr>
                <w:rFonts w:hint="eastAsia" w:ascii="宋体" w:hAnsi="宋体" w:cs="宋体"/>
                <w:i w:val="0"/>
                <w:iCs w:val="0"/>
                <w:color w:val="auto"/>
                <w:sz w:val="21"/>
                <w:szCs w:val="21"/>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上水装置</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技术参数同“A1-07 上水装置”</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J1-</w:t>
            </w:r>
            <w:r>
              <w:rPr>
                <w:rFonts w:hint="eastAsia" w:ascii="宋体" w:hAnsi="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下水装置</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技术参数同“A1-08 下水装置”</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J1-1</w:t>
            </w:r>
            <w:r>
              <w:rPr>
                <w:rFonts w:hint="eastAsia" w:ascii="宋体" w:hAnsi="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三联水嘴</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技术参数同“A1-09 三联水嘴”</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J1-1</w:t>
            </w:r>
            <w:r>
              <w:rPr>
                <w:rFonts w:hint="eastAsia" w:ascii="宋体" w:hAnsi="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单口洗眼器</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技术参数同“A1-11 单口洗眼器”</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J1-1</w:t>
            </w:r>
            <w:r>
              <w:rPr>
                <w:rFonts w:hint="eastAsia" w:ascii="宋体" w:hAnsi="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技术参数同“C1-1</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电气布线（地面以上部分）”</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J1-1</w:t>
            </w:r>
            <w:r>
              <w:rPr>
                <w:rFonts w:hint="eastAsia" w:ascii="宋体" w:hAnsi="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给、排水系统（地面以上部分）</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技术参数同“C1-1</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 给、排水系统（地面以上部分）”</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J1-1</w:t>
            </w:r>
            <w:r>
              <w:rPr>
                <w:rFonts w:hint="eastAsia" w:ascii="宋体" w:hAnsi="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智能云盒</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技术参数同“A1-12 智能云盒”</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J1-</w:t>
            </w:r>
            <w:r>
              <w:rPr>
                <w:rFonts w:hint="eastAsia" w:ascii="宋体" w:hAnsi="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课堂交互系统软件</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技术参数同“A1-13 课堂交互系统软件”</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J1-</w:t>
            </w:r>
            <w:r>
              <w:rPr>
                <w:rFonts w:hint="eastAsia" w:ascii="宋体" w:hAnsi="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互动音频处理器</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技术参数同“A1-14 互动音频处理器”</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J1-</w:t>
            </w:r>
            <w:r>
              <w:rPr>
                <w:rFonts w:hint="eastAsia" w:ascii="宋体" w:hAnsi="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全向麦克风</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技术参数同“A1-15 全向麦克风”</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J1-</w:t>
            </w:r>
            <w:r>
              <w:rPr>
                <w:rFonts w:hint="eastAsia" w:ascii="宋体" w:hAnsi="宋体" w:cs="宋体"/>
                <w:i w:val="0"/>
                <w:iCs w:val="0"/>
                <w:color w:val="auto"/>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指向麦克风</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技术参数同“A1-16 指向麦克风”</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J1-2</w:t>
            </w:r>
            <w:r>
              <w:rPr>
                <w:rFonts w:hint="eastAsia" w:ascii="宋体" w:hAnsi="宋体" w:cs="宋体"/>
                <w:i w:val="0"/>
                <w:iCs w:val="0"/>
                <w:color w:val="auto"/>
                <w:sz w:val="21"/>
                <w:szCs w:val="21"/>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音箱</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技术参数同“A1-17 音箱”</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J1-</w:t>
            </w:r>
            <w:r>
              <w:rPr>
                <w:rFonts w:hint="eastAsia" w:ascii="宋体" w:hAnsi="宋体" w:cs="宋体"/>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跟踪摄像机</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技术参数同“A1-18 跟踪摄像机”</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J1-</w:t>
            </w:r>
            <w:r>
              <w:rPr>
                <w:rFonts w:hint="eastAsia" w:ascii="宋体" w:hAnsi="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云台摄像机</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技术参数同“A1-19 云台摄像机”</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J1-</w:t>
            </w:r>
            <w:r>
              <w:rPr>
                <w:rFonts w:hint="eastAsia" w:ascii="宋体" w:hAnsi="宋体" w:cs="宋体"/>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互动电视机</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技术参数同“A1-20 互动电视机”</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J2、智能控制系统</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J2-01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智能系统控制箱</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技术参数同“A2-01 智能系统控制箱”</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J2-02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智能控制屏</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技术参数同“A2-02 智能控制屏”</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J2-03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吊装控制系统</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技术参数同“A2-03 吊装控制系统”</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J2-04</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温湿度探测系统</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技术参数同“A2-04 温湿度探测系统”</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J3、顶部集成供给系统</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J3-01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吊装主体框架</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技术参数同“A3-01 吊装主体框架”</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J3-02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主体保护罩</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技术参数同“A3-02 主体保护罩”</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J3-03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吊装端头</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技术参数同“A3-03 吊装端头”</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J3-04</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智能摇臂升降系统</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技术参数同“A3-04 智能摇臂升降系统”</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J3-05</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集成功能模块</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技术参数同“A3-05 集成功能模块”</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J3-06</w:t>
            </w:r>
            <w:r/>
          </w:p>
        </w:tc>
        <w:tc>
          <w:tcPr>
            <w:tcBorders>
              <w:top w:val="single" w:color="000000" w:sz="4" w:space="0"/>
              <w:left w:val="single" w:color="000000" w:sz="4" w:space="0"/>
              <w:bottom w:val="single" w:color="000000" w:sz="4" w:space="0"/>
              <w:right w:val="single" w:color="000000" w:sz="4" w:space="0"/>
            </w:tcBorders>
            <w:tcW w:w="617"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电源供应模块</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17"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技术参数同“A3-06 电源供应模块”</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J3-07</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保险模块</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技术参数同“A3-07 保险模块”</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J3-08</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急停装置</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技术参数同“A3-08 急停装置”</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J3-09</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供电线路</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技术参数同“A3-09 供电线路”</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J3-10</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照明系统</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技术参数同“A3-10 照明系统”</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J3-11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举手系统</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技术参数同“A3-11 举手系统”</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J3-12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自动给排水系统</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技术参数同“A3-12 自动给排水系统”</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J3-13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给排水接口</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技术参数同“A3-13 给排水接口”</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J3-14</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给水管路</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技术参数同“A3-14 给水管路”</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J3-15</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排水管路</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技术参数同“A3-15 排水管路”</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J3-16</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学生端分组控制系统</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技术参数同“A3-16 学生端分组控制系统”</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J3-17</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系统安装辅件</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技术参数同“A3-17 系统安装辅件”</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70"/>
        </w:trPr>
        <w:tc>
          <w:tcPr>
            <w:gridSpan w:val="3"/>
            <w:tcBorders>
              <w:top w:val="single" w:color="000000" w:sz="4" w:space="0"/>
              <w:left w:val="single" w:color="000000" w:sz="4" w:space="0"/>
              <w:bottom w:val="single" w:color="000000" w:sz="4" w:space="0"/>
              <w:right w:val="single" w:color="000000" w:sz="4" w:space="0"/>
            </w:tcBorders>
            <w:tcW w:w="421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J4、考室终端及配套设备</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J4-01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实验台信息采集终端</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技术参数同“C4-01 实验台信息采集终端”</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J4-02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考生终端软件</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技术参数同“C4-02 考生终端软件”</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J4-03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路由器</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技术参数同“C4-03 路由器”</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J4-04</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考室监考系统</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技术参数同“C4-04 考室监考系统”</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J4-05</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交换机</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技术参数同“C4-05 交换机”</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J4-06</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机柜</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技术参数同“C4-06 机柜”</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J4-07</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电子目镜</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技术参数同“C4-07 电子目镜”</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J4-08</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考室网络摄像机</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技术参数同“C4-08 考室网络摄像机”</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J4-09</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配置辅材及施工</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技术参数同“C4-09 配置辅材及施工”</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7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J4-10</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文宣装修</w:t>
            </w:r>
            <w:r/>
          </w:p>
        </w:tc>
        <w:tc>
          <w:tcPr>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技术参数同“A5-01 文宣装修”</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bl>
      <w:tblPr>
        <w:tblStyle w:val="727"/>
        <w:tblW w:w="5040" w:type="pct"/>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277"/>
        <w:gridCol w:w="6320"/>
        <w:gridCol w:w="789"/>
        <w:gridCol w:w="792"/>
      </w:tblGrid>
      <w:tr>
        <w:trPr>
          <w:trHeight w:val="270"/>
        </w:trPr>
        <w:tc>
          <w:tcPr>
            <w:gridSpan w:val="5"/>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K、智慧实验室校级管理平台</w:t>
            </w:r>
            <w:r/>
          </w:p>
        </w:tc>
      </w:tr>
      <w:tr>
        <w:trPr>
          <w:trHeight w:val="270"/>
        </w:trPr>
        <w:tc>
          <w:tcPr>
            <w:tcW w:w="430"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tcW w:w="63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tcW w:w="31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tcW w:w="393"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765"/>
        </w:trPr>
        <w:tc>
          <w:tcPr>
            <w:tcW w:w="43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K-01</w:t>
            </w:r>
            <w:r/>
          </w:p>
        </w:tc>
        <w:tc>
          <w:tcPr>
            <w:tcW w:w="63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考务管理系统</w:t>
            </w:r>
            <w:r/>
          </w:p>
        </w:tc>
        <w:tc>
          <w:tcPr>
            <w:tcW w:w="314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#1、基础信息管理：具有管理教师库、学生库、考题库等功能；具有数据录入、增加、修改、删除等功能；具有数据导入、导出、保存等功能；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#2、平台总体采用B/S架构，支持分布式部署，确保系统的伸缩性和灵活性；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#3、用户权限：具有设置不同角色及分配操作权限的功能，支持划分管理员、阅卷老师、监考老师和普通老师，并根据不同角色赋予权限；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考场编排：拥有考试管理权限的用户可以根据考生人数、考点考场等情况设置考试批次、考试学科、考场人数、考试时长和每场考试间隔时间等参数；具备缺考、参考等情况的各类统计功能；支持安排考题、设置考试日期、选择考试范围以及安排考生等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#5、考点关联：支持将非考点学校关联到考点，指派非考点学校的考生到考点进行考试，并统一管理考点数据；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#6、考室管理：支持设置≥2个考室分组，可以实现单学科多考室同时排考，满足考试需求；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#7、考室布局：支持按照横排顺序、竖排顺序等规则进行快速布局，可以自定义座位号显示；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#8、场室关联：支持关联考点校考室以外的功能场室，支持每个功能场室配置≥2个摄像头的主流及辅流视频流地址；</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#9、考题管理：可以根据考题评分项设置评分标准，支持启用电子试卷，并可自定义电子实验报告；报告填写内容包括但不限于填空题、简答题和选择题；</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#10、考试管理：学校考点可以根据自身情况安排考试日期，也可以根据县级平台统一安排的日期进行考试；在日常教学过程中，学校还可以根据需要安排模拟考；</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#11、排考办法：支持定时定点排考、定点不定时排考以及随到随考；</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#12、定时定点排考：生成全部考试批次信息，固定考室、时间及考试范围，考生按指定时间和地点进行考试；</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定点不定时排考：生成全部考试批次信息，固定考室和考生名单，但不固定考试时间；用户可在考室监考系统中控制考试的开始和结束，在考试结束前提供提示功能；监考老师可根据实际情况选择是否延长考试；</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随到随考：不需要设置具体的考生批次、考试时长或考试间隔时长；用户可根据实际学生到场情况，在签到页面为学生进行签到并生成考试批次；每个批次的考生有序抽签后即可进入考室；考室老师根据学生入场情况，在考室监考系统上控制考试开始和结束；可以根据考务要求配置规则，定时结束考试；在考试结束前提供提示功能，监考老师可根据实际情况选择是否延长考试；</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#15、并排排考：系统支持同时安排物理、化学和生物三场考试并发进行，实现不同学科考室同步并排进行考试；</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#16、智能排题：当选择多个考题时，系统会根据该场考试的考题数量，自动根据不同教室的座位数量和排列方式进行智能排题，确保相邻座位的题目不相同，以防止作弊；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#17、结果预览：当用户完成排考数据填写后，可以预览排考结果，系统对数据进行检测，检测通过后，用户可以发布考试，若排考数据异常，系统将以文字形式指出错误原因，便于用户快速定位并修改异常数据；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#18、准考证下载：支持通过平台的考试信息预览界面下载该场考试的准考证；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#19、闲时补考：拥有考试管理权限的用户可以为考生安排补考；补考时间需在闲时（即非已排考的考试时间），并且补考的考试编排可以继承正常考试的数据；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#20、缺考/参考统计：具备缺考、参考等情况的各类统计功能；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#21、运维管理：具有对存储设备、终端等设备运维管理功能，包括查看和清理服务器磁盘容量；查看监考端和学生端的当前版本，并在平台上传软件更新包后，实现远程自动更新；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22、考室自检统计：可在考室内进行设备轮巡自检测试，自检内容包括但不限于监考主机的CPU信息、内存信息、硬盘信息、通讯IP连接情况以及监考端、学生端和平台端的时间同步情况；考室完成自检后，平台将自动记录最后一次自检结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23、告警功能：当发现视频存储异常时，系统支持自动或手动向平台端提交告警信息；阅卷老师觉得考卷有问题时，可以手动点击异常处理，并填写具体情况；对告警进行处理时，支持重新上传视频、安排补考、取消考试成绩（舞弊情况）等操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#24、三端校验：可以通过 MD5 加密算法生成序列码，平台服务端、监考端和考生端的视频文件使用 MD5 进行校验。校验结果可在平台端查看，确保数据传输的完整性，防止文件被篡改。</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230"/>
        </w:trPr>
        <w:tc>
          <w:tcPr>
            <w:tcW w:w="43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K-02</w:t>
            </w:r>
            <w:r/>
          </w:p>
        </w:tc>
        <w:tc>
          <w:tcPr>
            <w:tcW w:w="63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抽签系统</w:t>
            </w:r>
            <w:r/>
          </w:p>
        </w:tc>
        <w:tc>
          <w:tcPr>
            <w:tcW w:w="314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#1、基础功能：具有随机抽签安排考生座位的功能，抽签信息实时呈现在显示设备上；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#2、能与校级平台进行绑定，实现考前的签到、抽签及抽签结果打印等功能，支持多种签到方式，能满足不同的签到需求；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#3、支持“三固定、一抽签”：每个位置固定考题、实验器材和座位号，学生进场时通过抽签决定座位；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#4、签到界面：支持显示当前批次、总批次、总人数、未签到人数、累计签到人数和本批次签到人数；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#5、考生签到：支持扫码（条形码或二维码）、人脸识别、身份证识别三种签到方式；签到界面可以显示考生的姓名、考号和学校；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#6、签到提示：当排考办法为随到随考时，如果当前批次签到考生人数达到考场座位总数，系统会提示人数已满，提醒用户进行抽签；</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#7、报到抽签：支持考生完成签到后，系统同步抽取学生考试座位号信息，并在屏幕上展示；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#8、语音播报：在“报到即抽签”模式下，考生完成抽签后，系统会通过喇叭播报考生的抽签信息；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#9、抽签界面：支持显示当前批次、总批次、考场座位布局，并提供抽签和标签打印功能；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#10、一键抽签：支持在“定时定点”和“定点不定时”模式下，对当前批次的考生进行一键抽签；抽签信息将同步至校级平台和考场监考端；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#11、结果打印：完成抽签后，可打印考生的抽签结果；用户可自由选择打印信息，包括但不限于考生姓名、座位号、考号、条形码和二维码等；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#12、批次查看：支持按考场和场次查看历史抽签记录，并支持历史记录打印。</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820"/>
        </w:trPr>
        <w:tc>
          <w:tcPr>
            <w:tcW w:w="43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K-03</w:t>
            </w:r>
            <w:r/>
          </w:p>
        </w:tc>
        <w:tc>
          <w:tcPr>
            <w:tcW w:w="63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校级监考系统</w:t>
            </w:r>
            <w:r/>
          </w:p>
        </w:tc>
        <w:tc>
          <w:tcPr>
            <w:tcW w:w="314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#1、监考巡查：具有调取、显示考场内所有终端视频信息的功能；能实时显示各考场、候考室的视频信息；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#2、多考室巡查：能将摄像机分配到不同的考室中分别管理，能为考务人员提供多个考室的实时巡考监控视频画面；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#3、支持标准RTSP协议的监控摄像机，协议开放，可兼容市面上大部分常见的IP网络摄像机；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#4、每个考室支持≥1路前摄像机、≥1路后摄像机；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#5、存在多场考试时，支持在巡考页面中快速切换并观看其他考试的监控，无需跳出页面；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#6、能在页面中实时展示当前考试的相关信息，包括但不限于：考试科目、开考时间、考试状态等；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#7、可自由选择多个摄像头切换显示，支持单画面、四分屏、九分屏等模式；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#8、能自动显示每一个考室监控摄像头的通道名称，通道名称需清晰明了，包括但不限于：考点校名称、考室名称、摄像头安装位置（前/后摄像头）等。</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4780"/>
        </w:trPr>
        <w:tc>
          <w:tcPr>
            <w:tcW w:w="43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K-04</w:t>
            </w:r>
            <w:r/>
          </w:p>
        </w:tc>
        <w:tc>
          <w:tcPr>
            <w:tcW w:w="63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阅卷评分系统</w:t>
            </w:r>
            <w:r/>
          </w:p>
        </w:tc>
        <w:tc>
          <w:tcPr>
            <w:tcW w:w="314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C/S和B/S混合架构，既支持B/S网页阅卷，也支持C/S客户端阅卷；当阅卷规模较小时，阅卷老师可以通过网页直接访问系统进行阅卷；当阅卷规模和用户量较大时，支持通过客户端软件提前将考试视频缓存到每一台阅卷电脑；此外，支持在平台上统一管理阅卷电脑并分配考卷，支持在平台上统一查看阅卷电脑内的视频缓存情况，并支持批量清除阅卷电脑内的视频缓存；</w:t>
            </w:r>
            <w:r>
              <w:rPr>
                <w:rFonts w:hint="eastAsia" w:ascii="宋体" w:hAnsi="宋体" w:eastAsia="宋体" w:cs="宋体"/>
                <w:b/>
                <w:bCs/>
                <w:i w:val="0"/>
                <w:iCs w:val="0"/>
                <w:strike w:val="0"/>
                <w:color w:val="auto"/>
                <w:sz w:val="21"/>
                <w:szCs w:val="21"/>
                <w:highlight w:val="none"/>
                <w:u w:val="none"/>
                <w:lang w:val="en-US" w:eastAsia="zh-CN" w:bidi="ar"/>
              </w:rPr>
              <w:t xml:space="preserve">（提供具有CMA标识的第三方检测机构出具的检测报告原件扫描件或产品白皮书或官网截图）</w:t>
            </w:r>
            <w:r>
              <w:rPr>
                <w:rFonts w:hint="eastAsia" w:ascii="宋体" w:hAnsi="宋体" w:eastAsia="宋体" w:cs="宋体"/>
                <w:b/>
                <w:bCs/>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基础功能管理：具有试卷管理、任务管理、教师管理等功能；可设置教师与试卷的数量匹配模式及并发数；能屏蔽考生敏感信息；具有查分管理功能，支持实时直播、视频回放、可兼容AI辅助评分或AI全自动评分等阅卷模式，各模式均应有复评流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#3、评分管理：支持在线视频阅卷评分、成绩查询和导出；在线阅卷时，支持加速播放、暂停和查看考卷实验报告等操作；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#4、支持现场打分：若考试采用现场平板电脑打分模式，系统可自动导入现场打分结果；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考卷数据核验：支持对从考室上传的数据进行核验；核验内容包括电子实验报告、显微镜截图和考卷视频数据；系统输出核验结果，显示核查的考卷数和存在的问题，并支持跳转至异常考卷列表，以便补充上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#6、阅卷规则：支持单评制和多评制；在多评制中，可以设定评分阈值；</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#7、阅卷试评：在正式阅卷工作之前，可以进行试评卷；支持阅卷组长分配试评卷的范围，包括随机选取部分考卷发放给阅卷老师进行评阅，以及选择同一份考卷给所有阅卷老师进行评阅，以便统一评分标准；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#8、阅卷老师可以选择一场考试，并固定一道题目进行阅卷；阅卷时，每个学生的主镜头和侧镜头画面将同时自动播放，且两个画面之间没有明显延迟；支持设置0.5X、1X、2X、4X、8X或更高倍速播放。</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660"/>
        </w:trPr>
        <w:tc>
          <w:tcPr>
            <w:tcW w:w="43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K-05</w:t>
            </w:r>
            <w:r/>
          </w:p>
        </w:tc>
        <w:tc>
          <w:tcPr>
            <w:tcW w:w="63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机房不间断电源UPS</w:t>
            </w:r>
            <w:r/>
          </w:p>
        </w:tc>
        <w:tc>
          <w:tcPr>
            <w:tcW w:w="314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#1、机架式UPS；</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#2、输入/输出电压：支持但不限于220V；</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#3、内置电池 ≥8组（节），每组（节）容量 ≥12V 7AH；</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#4、额定功率≥3.0kW；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#5、输入额定电压：支持但不限于208V、220V、230V、240V AC。</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705"/>
        </w:trPr>
        <w:tc>
          <w:tcPr>
            <w:tcW w:w="43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K-06</w:t>
            </w:r>
            <w:r/>
          </w:p>
        </w:tc>
        <w:tc>
          <w:tcPr>
            <w:tcW w:w="63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抽签设备</w:t>
            </w:r>
            <w:r/>
          </w:p>
        </w:tc>
        <w:tc>
          <w:tcPr>
            <w:tcW w:w="314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#1、用于考试抽签，支持标签或条码打印；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▲2、配备操作系统，搭配≥2块高清LCD显示屏幕，主屏≥13英寸（分辨率≥1920*1080），副屏≥10英寸,铝合金机身，具有≥1个HDMI口可外接大屏幕，整机一体化设计，各配件之间无任何外露线材；</w:t>
            </w:r>
            <w:r>
              <w:rPr>
                <w:rFonts w:hint="eastAsia" w:ascii="宋体" w:hAnsi="宋体" w:eastAsia="宋体" w:cs="宋体"/>
                <w:b/>
                <w:bCs/>
                <w:i w:val="0"/>
                <w:iCs w:val="0"/>
                <w:strike w:val="0"/>
                <w:color w:val="auto"/>
                <w:sz w:val="21"/>
                <w:szCs w:val="21"/>
                <w:highlight w:val="none"/>
                <w:u w:val="none"/>
                <w:lang w:val="en-US" w:eastAsia="zh-CN" w:bidi="ar"/>
              </w:rPr>
              <w:t xml:space="preserve">（提供具有CMA标识的第三方检测机构出具的检测报告原件扫描件或产品白皮书或官网截图）</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#3、主屏可触控，支持≥10点电容触控；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#4、处理器：≥8核64位处理器，主频≥2.2GHz，内存≥4GB，存储≥64GB；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#5、内嵌高拍仪，支持≤A4幅面拍摄；</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#6、内嵌身份证解密模块；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#7、支持人脸识别比对，内置≥200万像素高清摄像头，支持活体检测；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#8、内嵌指纹模块；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#9、内置热敏标签打印机，支持打印学生抽签结果；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#10、内置喇叭，支持语音播放和录音；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#11、内置扫码器：支持扫码读取考生准考证上的二维码，完成考生签到。</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tcW w:w="43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K-07</w:t>
            </w:r>
            <w:r/>
          </w:p>
        </w:tc>
        <w:tc>
          <w:tcPr>
            <w:tcW w:w="63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汇聚交换机</w:t>
            </w:r>
            <w:r/>
          </w:p>
        </w:tc>
        <w:tc>
          <w:tcPr>
            <w:tcW w:w="314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#1、24口三层交换机；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#2、端口描述：不少于24个千兆电口+2个千兆光口 + 2个万兆光口；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#3、包转发率：不低于166Mpps；</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#4、交换容量：不低于432Gbps。</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620"/>
        </w:trPr>
        <w:tc>
          <w:tcPr>
            <w:tcW w:w="43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K-08</w:t>
            </w:r>
            <w:r/>
          </w:p>
        </w:tc>
        <w:tc>
          <w:tcPr>
            <w:tcW w:w="63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路由器</w:t>
            </w:r>
            <w:r/>
          </w:p>
        </w:tc>
        <w:tc>
          <w:tcPr>
            <w:tcW w:w="314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#1、8口企业级路由器；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#2、设备类型：企业级路由器；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#3、WAN口：不低于2个GE；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#4、LAN口：不低于8个GE(3个LAN口支持切换为WAN)；</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#5、处理器：高性能ARM双核CPU；</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#6、产品内存：不低于256MB。</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W w:w="43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K-09</w:t>
            </w:r>
            <w:r/>
          </w:p>
        </w:tc>
        <w:tc>
          <w:tcPr>
            <w:tcW w:w="63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综合布线</w:t>
            </w:r>
            <w:r/>
          </w:p>
        </w:tc>
        <w:tc>
          <w:tcPr>
            <w:tcW w:w="314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#1、含六类双绞线、面板/插座、跳线、配线架等安装配件，面板带一个信息口。</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87</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点</w:t>
            </w:r>
            <w:r/>
          </w:p>
        </w:tc>
      </w:tr>
      <w:tr>
        <w:trPr>
          <w:trHeight w:val="540"/>
        </w:trPr>
        <w:tc>
          <w:tcPr>
            <w:tcW w:w="43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K-10</w:t>
            </w:r>
            <w:r/>
          </w:p>
        </w:tc>
        <w:tc>
          <w:tcPr>
            <w:tcW w:w="63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电源布线</w:t>
            </w:r>
            <w:r/>
          </w:p>
        </w:tc>
        <w:tc>
          <w:tcPr>
            <w:tcW w:w="314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#1、含室内配电箱主电源接入（主线不低于国标6平方*3电线）；UPS输出电源线不低于国标1.5平方*3电线，含线槽、插座和开关等安装配件。</w:t>
            </w:r>
            <w:r/>
          </w:p>
        </w:tc>
        <w:tc>
          <w:tcPr>
            <w:tcW w:w="39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87</w:t>
            </w:r>
            <w:r/>
          </w:p>
        </w:tc>
        <w:tc>
          <w:tcPr>
            <w:tcW w:w="3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点</w:t>
            </w:r>
            <w:r/>
          </w:p>
        </w:tc>
      </w:tr>
    </w:tbl>
    <w:p>
      <w:pPr>
        <w:keepLines w:val="0"/>
        <w:keepNext w:val="0"/>
        <w:pageBreakBefore w:val="0"/>
        <w:spacing w:line="400" w:lineRule="exact"/>
        <w:rPr>
          <w:rFonts w:hint="eastAsia" w:ascii="宋体" w:hAnsi="宋体" w:eastAsia="宋体" w:cs="宋体"/>
          <w:color w:val="auto"/>
          <w:sz w:val="21"/>
          <w:szCs w:val="21"/>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bl>
      <w:tblPr>
        <w:tblStyle w:val="72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306"/>
        <w:gridCol w:w="6255"/>
        <w:gridCol w:w="885"/>
        <w:gridCol w:w="713"/>
      </w:tblGrid>
      <w:tr>
        <w:trPr>
          <w:trHeight w:val="270"/>
        </w:trPr>
        <w:tc>
          <w:tcPr>
            <w:gridSpan w:val="5"/>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L、化学准备室</w:t>
            </w:r>
            <w:r/>
          </w:p>
        </w:tc>
      </w:tr>
      <w:tr>
        <w:trPr>
          <w:trHeight w:val="27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tcW w:w="31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tcW w:w="44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268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L-01</w:t>
            </w:r>
            <w:r/>
          </w:p>
        </w:tc>
        <w:tc>
          <w:tcPr>
            <w:tcW w:w="65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准备台</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#1、规格：约L3000*W1200*H</w:t>
            </w:r>
            <w:r>
              <w:rPr>
                <w:rFonts w:hint="eastAsia" w:ascii="宋体" w:hAnsi="宋体" w:eastAsia="宋体" w:cs="宋体"/>
                <w:i w:val="0"/>
                <w:iCs w:val="0"/>
                <w:strike w:val="0"/>
                <w:color w:val="auto"/>
                <w:sz w:val="21"/>
                <w:szCs w:val="21"/>
                <w:u w:val="none"/>
                <w:lang w:val="en-US" w:eastAsia="zh-CN" w:bidi="ar"/>
              </w:rPr>
              <w:t xml:space="preserve">760</w:t>
            </w:r>
            <w:r>
              <w:rPr>
                <w:rFonts w:hint="eastAsia" w:ascii="宋体" w:hAnsi="宋体" w:eastAsia="宋体" w:cs="宋体"/>
                <w:i w:val="0"/>
                <w:iCs w:val="0"/>
                <w:strike w:val="0"/>
                <w:color w:val="auto"/>
                <w:sz w:val="21"/>
                <w:szCs w:val="21"/>
                <w:u w:val="none"/>
                <w:lang w:val="en-US" w:eastAsia="zh-CN" w:bidi="ar"/>
              </w:rPr>
              <w:t xml:space="preserve">m</w:t>
            </w:r>
            <w:r>
              <w:rPr>
                <w:rFonts w:hint="eastAsia" w:ascii="宋体" w:hAnsi="宋体" w:eastAsia="宋体" w:cs="宋体"/>
                <w:i w:val="0"/>
                <w:iCs w:val="0"/>
                <w:color w:val="auto"/>
                <w:sz w:val="21"/>
                <w:szCs w:val="21"/>
                <w:u w:val="none"/>
                <w:lang w:val="en-US" w:eastAsia="zh-CN" w:bidi="ar"/>
              </w:rPr>
              <w:t xml:space="preserve">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#2、台面：采用≥12.7mm厚双面膜实芯理化板，且满足如下参数要求：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（1）化学性能检测：依据GB/T 17657-2022《人造板及饰面人造板理化性能试验方法》标准，耐污染性能检测，包含：65%硝酸、98%硫酸、氢氧化钾、液溴、乙酸铵、液体石蜡、柠檬酸、红药水、双氧水、丙酮、四氢呋喃等试剂，检验结果均为5级：无明显变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（2)物理性能检测：依据GB/T 17657-2022《人造板及饰面人造板理化性能试验方法》标准，</w:t>
            </w:r>
            <w:r>
              <w:rPr>
                <w:rFonts w:hint="eastAsia" w:ascii="宋体" w:hAnsi="宋体" w:cs="宋体"/>
                <w:i w:val="0"/>
                <w:iCs w:val="0"/>
                <w:color w:val="auto"/>
                <w:sz w:val="21"/>
                <w:szCs w:val="21"/>
                <w:u w:val="none"/>
                <w:lang w:val="en-US" w:eastAsia="zh-CN" w:bidi="ar"/>
              </w:rPr>
              <w:t xml:space="preserve">包含</w:t>
            </w:r>
            <w:r>
              <w:rPr>
                <w:rFonts w:hint="eastAsia" w:ascii="宋体" w:hAnsi="宋体" w:eastAsia="宋体" w:cs="宋体"/>
                <w:i w:val="0"/>
                <w:iCs w:val="0"/>
                <w:color w:val="auto"/>
                <w:sz w:val="21"/>
                <w:szCs w:val="21"/>
                <w:u w:val="none"/>
                <w:lang w:val="en-US" w:eastAsia="zh-CN" w:bidi="ar"/>
              </w:rPr>
              <w:t xml:space="preserve">： 含水率；尺寸稳定性；板面握螺钉力；表面耐冷热循环性能：表面无裂纹及鼓泡；浸渍剥离性能：贴面层与基材之间的胶层无剥离和分层现象；表面耐划痕性能：表面装饰花纹无破坏现象；表面质量等级：5级：无变化，边缘质量等级：5级：无明显变化；耐开裂性能：5级</w:t>
            </w:r>
            <w:r>
              <w:rPr>
                <w:rFonts w:hint="eastAsia" w:ascii="宋体" w:hAnsi="宋体" w:cs="宋体"/>
                <w:i w:val="0"/>
                <w:iCs w:val="0"/>
                <w:color w:val="auto"/>
                <w:sz w:val="21"/>
                <w:szCs w:val="21"/>
                <w:u w:val="none"/>
                <w:lang w:val="en-US" w:eastAsia="zh-CN" w:bidi="ar"/>
              </w:rPr>
              <w:t xml:space="preserve">。</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抗菌性能检测：依据JC/T2039-2010标准，符合：大肠杆菌、金黄色葡萄球菌、肺炎克雷伯氏菌、鼠伤寒沙门氏菌、表皮葡萄球菌、铜绿假单胞菌、宋氏志贺氏菌、白色葡萄球菌、粪肠球菌；耐甲氧西林金黄色葡萄球菌、单核细胞增生李斯特氏菌、变异库克菌、溶血性链球菌等菌种检测，且抗菌率≥95%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)防霉性能检测：依据JC/T2039-2010标准，符合：黑曲霉、土曲霉、球毛壳霉、宛氏拟青霉、绳状青霉、出芽短梗霉等霉菌检测，且防霉等级为0级。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#3、桌架：桌架由左右横梁、前横梁、中横梁、后横梁及拉筋组成，整体稳固牢靠；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#4、左右横梁：左右横梁采用≥</w:t>
            </w:r>
            <w:r>
              <w:rPr>
                <w:rFonts w:hint="eastAsia" w:ascii="宋体" w:hAnsi="宋体" w:cs="宋体"/>
                <w:i w:val="0"/>
                <w:iCs w:val="0"/>
                <w:color w:val="auto"/>
                <w:sz w:val="21"/>
                <w:szCs w:val="21"/>
                <w:u w:val="none"/>
                <w:lang w:val="en-US" w:eastAsia="zh-CN" w:bidi="ar"/>
              </w:rPr>
              <w:t xml:space="preserve">2.5</w:t>
            </w:r>
            <w:r>
              <w:rPr>
                <w:rFonts w:hint="eastAsia" w:ascii="宋体" w:hAnsi="宋体" w:eastAsia="宋体" w:cs="宋体"/>
                <w:i w:val="0"/>
                <w:iCs w:val="0"/>
                <w:color w:val="auto"/>
                <w:sz w:val="21"/>
                <w:szCs w:val="21"/>
                <w:u w:val="none"/>
                <w:lang w:val="en-US" w:eastAsia="zh-CN" w:bidi="ar"/>
              </w:rPr>
              <w:t xml:space="preserve">mm冷轧钢板焊接成型，表面经高压静电喷涂环氧树脂防护层，耐酸碱，耐腐蚀处理；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#5、前中横梁：左右横梁采用≥</w:t>
            </w:r>
            <w:r>
              <w:rPr>
                <w:rFonts w:hint="eastAsia" w:ascii="宋体" w:hAnsi="宋体" w:cs="宋体"/>
                <w:i w:val="0"/>
                <w:iCs w:val="0"/>
                <w:color w:val="auto"/>
                <w:sz w:val="21"/>
                <w:szCs w:val="21"/>
                <w:u w:val="none"/>
                <w:lang w:val="en-US" w:eastAsia="zh-CN" w:bidi="ar"/>
              </w:rPr>
              <w:t xml:space="preserve">1.0</w:t>
            </w:r>
            <w:r>
              <w:rPr>
                <w:rFonts w:hint="eastAsia" w:ascii="宋体" w:hAnsi="宋体" w:eastAsia="宋体" w:cs="宋体"/>
                <w:i w:val="0"/>
                <w:iCs w:val="0"/>
                <w:color w:val="auto"/>
                <w:sz w:val="21"/>
                <w:szCs w:val="21"/>
                <w:u w:val="none"/>
                <w:lang w:val="en-US" w:eastAsia="zh-CN" w:bidi="ar"/>
              </w:rPr>
              <w:t xml:space="preserve">mm冷轧钢板经焊接成型，表面经高压静电喷涂环氧树脂防护层，耐酸碱，耐腐蚀处理；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#6、后横梁：后横梁采用铝合金挤出，壁厚为≥1.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mm，表面经高压静电喷涂环氧树脂防护层，耐酸碱，耐腐蚀处理；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#7、拉筋：拉筋采用壁厚为≥1.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mm，60</w:t>
            </w:r>
            <w:r>
              <w:rPr>
                <w:rFonts w:hint="eastAsia" w:ascii="宋体" w:hAnsi="宋体" w:cs="宋体"/>
                <w:i w:val="0"/>
                <w:iCs w:val="0"/>
                <w:color w:val="auto"/>
                <w:sz w:val="21"/>
                <w:szCs w:val="21"/>
                <w:u w:val="none"/>
                <w:lang w:val="en-US" w:eastAsia="zh-CN" w:bidi="ar"/>
              </w:rPr>
              <w:t xml:space="preserve">mm</w:t>
            </w:r>
            <w:r>
              <w:rPr>
                <w:rFonts w:hint="eastAsia" w:ascii="宋体" w:hAnsi="宋体" w:eastAsia="宋体" w:cs="宋体"/>
                <w:i w:val="0"/>
                <w:iCs w:val="0"/>
                <w:color w:val="auto"/>
                <w:sz w:val="21"/>
                <w:szCs w:val="21"/>
                <w:u w:val="none"/>
                <w:lang w:val="en-US" w:eastAsia="zh-CN" w:bidi="ar"/>
              </w:rPr>
              <w:t xml:space="preserve">*30</w:t>
            </w:r>
            <w:r>
              <w:rPr>
                <w:rFonts w:hint="eastAsia" w:ascii="宋体" w:hAnsi="宋体" w:cs="宋体"/>
                <w:i w:val="0"/>
                <w:iCs w:val="0"/>
                <w:color w:val="auto"/>
                <w:sz w:val="21"/>
                <w:szCs w:val="21"/>
                <w:u w:val="none"/>
                <w:lang w:val="en-US" w:eastAsia="zh-CN" w:bidi="ar"/>
              </w:rPr>
              <w:t xml:space="preserve">mm</w:t>
            </w:r>
            <w:r>
              <w:rPr>
                <w:rFonts w:hint="eastAsia" w:ascii="宋体" w:hAnsi="宋体" w:eastAsia="宋体" w:cs="宋体"/>
                <w:i w:val="0"/>
                <w:iCs w:val="0"/>
                <w:color w:val="auto"/>
                <w:sz w:val="21"/>
                <w:szCs w:val="21"/>
                <w:u w:val="none"/>
                <w:lang w:val="en-US" w:eastAsia="zh-CN" w:bidi="ar"/>
              </w:rPr>
              <w:t xml:space="preserve">的平椭圆管与≥3.</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mm的连接片焊接而成，表面经高压静电喷涂环氧树脂防护层，耐酸碱，耐腐蚀处理；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#8、桌腿：桌腿由前腿、装饰件及后腿组成，底部有橡胶脚垫或调节脚，减少与地面摩擦，桌腿底部预留孔位可与地面固定；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#9、前腿：采用壁厚为≥1.5mm厚的D型无缝钢管焊接成型，表面经高压静电喷涂环氧树脂防护层，耐酸碱，耐腐蚀处理，末端衔接ABS一体注塑堵头；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#10、装饰件：采用壁厚为≥1.0mm厚的</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表面经高压静电喷涂环氧树脂防护层，耐酸碱，耐腐蚀处理；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#11、后腿：采用壁厚为≥1.5mm厚的D型无缝钢管焊接成型，表面经高压静电喷涂环氧树脂防护层，耐酸碱，耐腐蚀处理，末端衔接ABS一体注塑堵头；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#12、书包斗：采用PP工程塑料作原料，经模具注塑一次成型，外形规格：≥420mm×300㎜×175㎜，壁厚≥3mm；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w:t>
            </w:r>
            <w:r>
              <w:rPr>
                <w:rStyle w:val="966"/>
                <w:rFonts w:hint="eastAsia" w:ascii="宋体" w:hAnsi="宋体" w:eastAsia="宋体" w:cs="宋体"/>
                <w:color w:val="auto"/>
                <w:sz w:val="21"/>
                <w:szCs w:val="21"/>
                <w:highlight w:val="none"/>
                <w:lang w:val="en-US" w:eastAsia="zh-CN" w:bidi="ar"/>
              </w:rPr>
              <w:t xml:space="preserve">满足：GB/T24820-2024实验室家具通用技术条件</w:t>
            </w:r>
            <w:r>
              <w:rPr>
                <w:rFonts w:hint="eastAsia" w:ascii="宋体" w:hAnsi="宋体" w:eastAsia="宋体" w:cs="宋体"/>
                <w:i w:val="0"/>
                <w:iCs w:val="0"/>
                <w:color w:val="auto"/>
                <w:sz w:val="21"/>
                <w:szCs w:val="21"/>
                <w:u w:val="none"/>
                <w:lang w:val="en-US" w:eastAsia="zh-CN" w:bidi="ar"/>
              </w:rPr>
              <w:t xml:space="preserve">：操作台力学性能：水平静载荷试验：力600N,10次；垂直静载荷试验：主桌面：力2000N，10次；水平冲击稳定性：质量50kg,高度40mm；跌落</w:t>
            </w:r>
            <w:r>
              <w:rPr>
                <w:rStyle w:val="966"/>
                <w:rFonts w:hint="eastAsia" w:ascii="宋体" w:hAnsi="宋体" w:cs="宋体"/>
                <w:color w:val="auto"/>
                <w:sz w:val="21"/>
                <w:szCs w:val="21"/>
                <w:highlight w:val="none"/>
                <w:lang w:val="en-US" w:eastAsia="zh-CN" w:bidi="ar"/>
              </w:rPr>
              <w:t xml:space="preserve">实验</w:t>
            </w:r>
            <w:r>
              <w:rPr>
                <w:rFonts w:hint="eastAsia" w:ascii="宋体" w:hAnsi="宋体" w:eastAsia="宋体" w:cs="宋体"/>
                <w:i w:val="0"/>
                <w:iCs w:val="0"/>
                <w:color w:val="auto"/>
                <w:sz w:val="21"/>
                <w:szCs w:val="21"/>
                <w:u w:val="none"/>
                <w:lang w:val="en-US" w:eastAsia="zh-CN" w:bidi="ar"/>
              </w:rPr>
              <w:t xml:space="preserve">：跌落高度:150mm,10次；</w:t>
            </w:r>
            <w:r>
              <w:rPr>
                <w:rFonts w:hint="eastAsia" w:ascii="宋体" w:hAnsi="宋体" w:eastAsia="宋体" w:cs="宋体"/>
                <w:b/>
                <w:bCs/>
                <w:i w:val="0"/>
                <w:iCs w:val="0"/>
                <w:color w:val="auto"/>
                <w:sz w:val="21"/>
                <w:szCs w:val="21"/>
                <w:u w:val="none"/>
                <w:lang w:val="en-US" w:eastAsia="zh-CN" w:bidi="ar"/>
              </w:rPr>
              <w:t xml:space="preserve">（提供具有CMA标识的第三方检测机构出具的检测报告原件扫描件）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#14、水槽：采用PP改性材料，塑料注塑一次性成型</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内置溢水孔，防止水位过高导致溢水，整体外观线条简约硬朗；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、水槽托架：采用≥1.0mm冷轧钢板焊接成型，表面经高压静电喷涂环氧树脂防护层，耐酸碱，耐腐蚀处理,通过螺丝将水槽固定在托架上，使整体更加稳固；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、水槽柜体：水槽柜体由侧板、前门板、后门板及底座组成，前后各设置一个柜门，便于日后维修养护；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、侧板：采用≥1.0mm冷轧钢板焊接成型，表面经高压静电喷涂环氧树脂防护层，耐酸碱，耐腐蚀处理；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、前门板：内置衬板，整体采用≥1.0mm冷轧钢板焊接成型，表面经高压静电喷涂环氧树脂防护层，耐酸碱，耐腐蚀处理；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19</w:t>
            </w:r>
            <w:r>
              <w:rPr>
                <w:rFonts w:hint="eastAsia" w:ascii="宋体" w:hAnsi="宋体" w:eastAsia="宋体" w:cs="宋体"/>
                <w:i w:val="0"/>
                <w:iCs w:val="0"/>
                <w:color w:val="auto"/>
                <w:sz w:val="21"/>
                <w:szCs w:val="21"/>
                <w:u w:val="none"/>
                <w:lang w:val="en-US" w:eastAsia="zh-CN" w:bidi="ar"/>
              </w:rPr>
              <w:t xml:space="preserve">、后门板：采用≥1.0mm冷轧钢板经焊接成型，表面经高压静电喷涂环氧树脂防护层，耐酸碱，耐腐蚀处理，通过搭扣锁与柜体连接，拆卸方便；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、底座：采用≥1.0mm冷轧钢板焊接成型，表面经高压静电喷涂环氧树脂防护层，耐酸碱，耐腐蚀处理，底部配置调节脚，减少与地面摩擦；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全新钢制水槽柜需满足以下测试内容：1）柜体邻边垂直度（正视面板、框架）：对角线长度、对边长度等检测结果为合格或符合；2）位差度：要求检测结果为符合要求；3）分缝：开门检测结果为符合要求；4）电镀层外观要求：要求检测结果为符合要求；5）安全性：要求检测结果为符合要求；</w:t>
            </w:r>
            <w:r/>
          </w:p>
        </w:tc>
        <w:tc>
          <w:tcPr>
            <w:tcW w:w="44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27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L-02</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三联水嘴</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技术参数同“A1-09 三联水嘴”</w:t>
            </w:r>
            <w:r/>
          </w:p>
        </w:tc>
        <w:tc>
          <w:tcPr>
            <w:tcW w:w="44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L-03</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上水装置</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技术参数同“A1-07 上水装置”</w:t>
            </w:r>
            <w:r/>
          </w:p>
        </w:tc>
        <w:tc>
          <w:tcPr>
            <w:tcW w:w="44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L-04</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下水装置</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技术参数同“A1-08 下水装置”</w:t>
            </w:r>
            <w:r/>
          </w:p>
        </w:tc>
        <w:tc>
          <w:tcPr>
            <w:tcW w:w="44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L-05</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试剂架</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2200L*300W*750H；</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#2、双层，分两段，采用铝合金专用型材；                                                                                                       </w:t>
            </w:r>
            <w:r>
              <w:rPr>
                <w:rFonts w:hint="eastAsia" w:ascii="宋体" w:hAnsi="宋体" w:eastAsia="宋体" w:cs="宋体"/>
                <w:i w:val="0"/>
                <w:iCs w:val="0"/>
                <w:color w:val="auto"/>
                <w:sz w:val="21"/>
                <w:szCs w:val="21"/>
                <w:u w:val="none"/>
                <w:lang w:val="en-US" w:eastAsia="zh-CN" w:bidi="ar"/>
              </w:rPr>
              <w:t xml:space="preserve">                                                                                                                                                                                     #3、立柱采用≥80*42*1.0mm，护栏采用≥30*12*1.0mm铝合金型材，玻璃托盘厚≥8mm,表面喷涂环氧树脂防护层，长期使用不掉漆不褪色。</w:t>
            </w:r>
            <w:r/>
          </w:p>
        </w:tc>
        <w:tc>
          <w:tcPr>
            <w:tcW w:w="44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L-06</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滴水架</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#1、材质:高密度PP；</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550*400*120mm，27支滴水棒；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#3、底部托盘中间设有排水孔；</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#4、可拆卸式滴水棒，方便使用。</w:t>
            </w:r>
            <w:r/>
          </w:p>
        </w:tc>
        <w:tc>
          <w:tcPr>
            <w:tcW w:w="44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7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L-07</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单口洗眼器</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技术参数同“A1-11 单口洗眼器”</w:t>
            </w:r>
            <w:r/>
          </w:p>
        </w:tc>
        <w:tc>
          <w:tcPr>
            <w:tcW w:w="44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94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L-08</w:t>
            </w:r>
            <w:r/>
          </w:p>
        </w:tc>
        <w:tc>
          <w:tcPr>
            <w:tcW w:w="65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通风柜</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1500</w:t>
            </w:r>
            <w:r>
              <w:rPr>
                <w:rFonts w:hint="eastAsia" w:ascii="宋体" w:hAnsi="宋体" w:cs="宋体"/>
                <w:i w:val="0"/>
                <w:iCs w:val="0"/>
                <w:color w:val="auto"/>
                <w:sz w:val="21"/>
                <w:szCs w:val="21"/>
                <w:u w:val="none"/>
                <w:lang w:val="en-US" w:eastAsia="zh-CN" w:bidi="ar"/>
              </w:rPr>
              <w:t xml:space="preserve">mm</w:t>
            </w:r>
            <w:r>
              <w:rPr>
                <w:rFonts w:hint="eastAsia" w:ascii="宋体" w:hAnsi="宋体" w:eastAsia="宋体" w:cs="宋体"/>
                <w:i w:val="0"/>
                <w:iCs w:val="0"/>
                <w:color w:val="auto"/>
                <w:sz w:val="21"/>
                <w:szCs w:val="21"/>
                <w:u w:val="none"/>
                <w:lang w:val="en-US" w:eastAsia="zh-CN" w:bidi="ar"/>
              </w:rPr>
              <w:t xml:space="preserve">*850</w:t>
            </w:r>
            <w:r>
              <w:rPr>
                <w:rFonts w:hint="eastAsia" w:ascii="宋体" w:hAnsi="宋体" w:cs="宋体"/>
                <w:i w:val="0"/>
                <w:iCs w:val="0"/>
                <w:color w:val="auto"/>
                <w:sz w:val="21"/>
                <w:szCs w:val="21"/>
                <w:u w:val="none"/>
                <w:lang w:val="en-US" w:eastAsia="zh-CN" w:bidi="ar"/>
              </w:rPr>
              <w:t xml:space="preserve">mm</w:t>
            </w:r>
            <w:r>
              <w:rPr>
                <w:rFonts w:hint="eastAsia" w:ascii="宋体" w:hAnsi="宋体" w:eastAsia="宋体" w:cs="宋体"/>
                <w:i w:val="0"/>
                <w:iCs w:val="0"/>
                <w:color w:val="auto"/>
                <w:sz w:val="21"/>
                <w:szCs w:val="21"/>
                <w:u w:val="none"/>
                <w:lang w:val="en-US" w:eastAsia="zh-CN" w:bidi="ar"/>
              </w:rPr>
              <w:t xml:space="preserve">*2350</w:t>
            </w:r>
            <w:r>
              <w:rPr>
                <w:rFonts w:hint="eastAsia" w:ascii="宋体" w:hAnsi="宋体" w:cs="宋体"/>
                <w:i w:val="0"/>
                <w:iCs w:val="0"/>
                <w:color w:val="auto"/>
                <w:sz w:val="21"/>
                <w:szCs w:val="21"/>
                <w:u w:val="none"/>
                <w:lang w:val="en-US" w:eastAsia="zh-CN" w:bidi="ar"/>
              </w:rPr>
              <w:t xml:space="preserve">mm</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#2、外壳说明： 外壳采用≥ 1.0mm 冷轧钢板，酸洗磷化处理后喷涂环氧树脂粉末高温烘烤固化。#3、内壳说明：采用≥5mm灰色，设有可拆卸维修孔，便于维修电路、水路、气路；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#4、日光灯说明：防爆灯隐藏于面板上，不与通风柜内气流接触，易更换。采用防爆灯≥1支，并设有≥5mm钢化玻璃；</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#5、导流板说明：采用≥5mm灰色，耐酸碱有机溶剂之实验室专用抗蚀材质；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#6、电源说明：采用实验室专用防爆电源插座；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#7、窗口说明：铝型材配合塑料型材边框，视窗口采用单块5mm安全玻璃，窗口也可</w:t>
            </w:r>
            <w:r>
              <w:rPr>
                <w:rFonts w:hint="eastAsia" w:ascii="宋体" w:hAnsi="宋体" w:cs="宋体"/>
                <w:i w:val="0"/>
                <w:iCs w:val="0"/>
                <w:color w:val="auto"/>
                <w:sz w:val="21"/>
                <w:szCs w:val="21"/>
                <w:u w:val="none"/>
                <w:lang w:val="en-US" w:eastAsia="zh-CN" w:bidi="ar"/>
              </w:rPr>
              <w:t xml:space="preserve">采用</w:t>
            </w:r>
            <w:r>
              <w:rPr>
                <w:rFonts w:hint="eastAsia" w:ascii="宋体" w:hAnsi="宋体" w:eastAsia="宋体" w:cs="宋体"/>
                <w:i w:val="0"/>
                <w:iCs w:val="0"/>
                <w:color w:val="auto"/>
                <w:sz w:val="21"/>
                <w:szCs w:val="21"/>
                <w:u w:val="none"/>
                <w:lang w:val="en-US" w:eastAsia="zh-CN" w:bidi="ar"/>
              </w:rPr>
              <w:t xml:space="preserve">3块5mm安全玻璃，可左右移动，单块并采用无段平衡装置，可上下移动，自由调节；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#8、调整脚说明：采用直径φ10mm注塑调整脚，防震、防潮、耐腐蚀，可根据室内地坪适当调整柜体高度，最大调节为0-30mm；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#9、集气罩说明：采用PP材质；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#10、配电箱说明：符合220V及380V供电要求，有漏电及电机保护装置；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#11、控制开关说明：防爆开关，集中控制整个电路系统；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#12、工艺说明：所有钢板焊接经环氧树脂粉喷涂后，目视平整无焊点。所有水、电、气路要求安全、适用，并隐藏式安装。在柜体后背板设维修孔；</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#13、三块导流板使处于不同高度空间的有害气体分别从不同的段区排出。通风柜以操作表面风速≥0.5m/s的速度将通风柜中的空气排出，确保无任何残留气体存在。通风效率高，排风量为≥1800m³/h左右，且噪声小；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#14、下部柜体（一般型底柜），门板：采用≥1.0mm优质冷轧钢板（双层），无焊连接可拆卸带减震垫，酸洗磷化处理后喷涂环氧树脂粉末高温烘烤固化；</w:t>
            </w:r>
            <w:r/>
          </w:p>
        </w:tc>
        <w:tc>
          <w:tcPr>
            <w:tcW w:w="44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4320"/>
        </w:trPr>
        <w:tc>
          <w:tcPr>
            <w:shd w:val="clear" w:color="auto" w:fill="auto"/>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L-09</w:t>
            </w:r>
            <w:r/>
          </w:p>
        </w:tc>
        <w:tc>
          <w:tcPr>
            <w:shd w:val="clear" w:color="auto" w:fill="ffffff"/>
            <w:tcW w:w="65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药品柜</w:t>
            </w:r>
            <w:r/>
          </w:p>
        </w:tc>
        <w:tc>
          <w:tcPr>
            <w:shd w:val="clear" w:color="auto" w:fill="ffffff"/>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1000*500*2000mm；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#2、柜体：侧板、顶底板采用改性PP材料模具一次成型，表面沙面和光面相结合处理，保证柜体之坚固及密封性，耐腐蚀性强，顶板、底板预留模具成型排风孔。底部镶嵌≥15mm*30*1.2mm钢制横梁，承重力强；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#3、下柜柜门：内框采用改性PP材质模具一次成型，外嵌≥5mm厚钢化烤漆玻璃。上下拉手及三角对称五点固定，防止玻璃的松动或开合。伸缩式PP旋转门轴，四角圆弧倒角，内侧弧形圆边，配锁；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上柜柜门：内框采用改性PP材质模具一次成型，外嵌≥5mm厚钢化烤漆玻璃，中间烤漆镂空制作。上下拉手及三角对称五点固定，防止玻璃的松动或开合。伸缩式PP旋转门轴，四角圆弧倒角，内侧弧形圆边。配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层板：上柜配置两块活动层板，下柜配置一块活动层板，层板全部采用改性PP材料模具一次成型，表面沙面和光面相结合处理，四周有阻水边，底部镶嵌两根≥15mm*30*1.2mm钢制横梁，承重力强，添加防锈喷漆工艺。整体设计为活动式，可随意抽取放在合适的隔层，自由组合各层空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#6、拉手：采用改性PP材料模具一次成型，直角梯形四周倒圆与柜门平行，开启方便；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#7、门铰链：采用改性PP材料模具一次成型，伸缩式PP旋转门轴，永不生锈，耐腐蚀性好；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#8、螺丝：不锈钢304材质；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#9、备注：可以用于各种腐蚀性化学品的储藏，如硫酸、盐酸、硝酸、乙酸、硫磺酸等；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#10、阶梯：配一块阶梯；规格≥920*225*140mm,整体PP材料一体注塑成型（非二次焊接或者拼接）,牢固耐用，一共两层，每层高度70mm，宽度≥130mm，同层板组成三层阶梯；</w:t>
            </w:r>
            <w:r/>
          </w:p>
        </w:tc>
        <w:tc>
          <w:tcPr>
            <w:shd w:val="clear" w:color="auto" w:fill="ffffff"/>
            <w:tcW w:w="44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shd w:val="clear" w:color="auto" w:fill="ffffff"/>
            <w:tcW w:w="35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54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L-10</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室内通风系统</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#1、主风管：采用具有耐酸碱性能PVCФ400㎜、支分管Ф160㎜，Ф110mm；                                                                                                                                                                 #2、管卡采用碳钢制作，表面经镀铬处理，具有耐腐蚀、防火、防潮等功能；</w:t>
            </w:r>
            <w:r/>
          </w:p>
        </w:tc>
        <w:tc>
          <w:tcPr>
            <w:tcW w:w="44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81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L-11</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室外通风系统</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#1、采用PVC风管，或PP焊接管具有耐酸碱性能；                                                          </w:t>
            </w:r>
            <w:r>
              <w:rPr>
                <w:rFonts w:hint="eastAsia" w:ascii="宋体" w:hAnsi="宋体" w:eastAsia="宋体" w:cs="宋体"/>
                <w:i w:val="0"/>
                <w:iCs w:val="0"/>
                <w:color w:val="auto"/>
                <w:sz w:val="21"/>
                <w:szCs w:val="21"/>
                <w:u w:val="none"/>
                <w:lang w:val="en-US" w:eastAsia="zh-CN" w:bidi="ar"/>
              </w:rPr>
              <w:t xml:space="preserve">                                                                                                                    #2、规格：主风管直径≥400mm；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#3、管卡采用碳钢制作，表面经镀铬处理，具有耐腐蚀、防火、防潮等功能；</w:t>
            </w:r>
            <w:r/>
          </w:p>
        </w:tc>
        <w:tc>
          <w:tcPr>
            <w:tcW w:w="44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135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L-12</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风机</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#1、6#离心风机；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#2、材料：PP板材料；                                                                                                                                                         </w:t>
            </w:r>
            <w:r>
              <w:rPr>
                <w:rFonts w:hint="eastAsia" w:ascii="宋体" w:hAnsi="宋体" w:eastAsia="宋体" w:cs="宋体"/>
                <w:i w:val="0"/>
                <w:iCs w:val="0"/>
                <w:color w:val="auto"/>
                <w:sz w:val="21"/>
                <w:szCs w:val="21"/>
                <w:u w:val="none"/>
                <w:lang w:val="en-US" w:eastAsia="zh-CN" w:bidi="ar"/>
              </w:rPr>
              <w:t xml:space="preserve">                                                #3、电机功率：6A-4kW；                                                                                                                                                                                                 </w:t>
            </w:r>
            <w:r>
              <w:rPr>
                <w:rFonts w:hint="eastAsia" w:ascii="宋体" w:hAnsi="宋体" w:eastAsia="宋体" w:cs="宋体"/>
                <w:i w:val="0"/>
                <w:iCs w:val="0"/>
                <w:color w:val="auto"/>
                <w:sz w:val="21"/>
                <w:szCs w:val="21"/>
                <w:u w:val="none"/>
                <w:lang w:val="en-US" w:eastAsia="zh-CN" w:bidi="ar"/>
              </w:rPr>
              <w:t xml:space="preserve">                            #4、技术要求：转速 1450r/min，风量：6677-13353，全压：1139-724，噪声符合国家标准；输出：AC 0-380V 13A；                                                                                                                                   #5、随机配件：防雨风帽、电机防雨罩、及减震垫；</w:t>
            </w:r>
            <w:r/>
          </w:p>
        </w:tc>
        <w:tc>
          <w:tcPr>
            <w:tcW w:w="44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L-13</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变频器</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#1、采用电流无感矢量控制，（380V/5.5kW），额定电压：AC3PH380V+15%，频率：50-60Hz；</w:t>
            </w:r>
            <w:r/>
          </w:p>
        </w:tc>
        <w:tc>
          <w:tcPr>
            <w:tcW w:w="44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L-14</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消音器</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#1、规格：外径Ф600㎜，内径Ф400㎜、高度≥1000mm, 圆形；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#2、材料：PP材质，内置隔音棉等隔音装置；</w:t>
            </w:r>
            <w:r/>
          </w:p>
        </w:tc>
        <w:tc>
          <w:tcPr>
            <w:tcW w:w="44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L-15</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风机软连接</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技术参数同“A4-07 风机软连接”</w:t>
            </w:r>
            <w:r/>
          </w:p>
        </w:tc>
        <w:tc>
          <w:tcPr>
            <w:tcW w:w="44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L-16</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风机控制线</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技术参数同“A4-08 风机控制线”</w:t>
            </w:r>
            <w:r/>
          </w:p>
        </w:tc>
        <w:tc>
          <w:tcPr>
            <w:tcW w:w="44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1485"/>
        </w:trPr>
        <w:tc>
          <w:tcPr>
            <w:tcW w:w="40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L-17</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环境布置</w:t>
            </w:r>
            <w:r/>
          </w:p>
        </w:tc>
        <w:tc>
          <w:tcPr>
            <w:tcW w:w="3139"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#1、吊顶（约60</w:t>
            </w:r>
            <w:r>
              <w:rPr>
                <w:rStyle w:val="974"/>
                <w:rFonts w:hint="eastAsia" w:ascii="宋体" w:hAnsi="宋体" w:eastAsia="宋体" w:cs="宋体"/>
                <w:color w:val="auto"/>
                <w:sz w:val="21"/>
                <w:szCs w:val="21"/>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1）铝方通吊顶（长1000*宽300*厚1.0mm)颜色定制；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2）龙骨：包含A-字龙骨元件、主龙骨、主龙骨吊件、三角龙骨、三角龙骨吊件等；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3）其他辅件：封边条、钢丝、膨胀螺丝、钢钉、木条等；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#2、墙面（约80㎡）：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1）打磨原有墙面，批腻子一遍，乳胶漆一遍；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#3、地面（约60㎡）：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1）清理原地面基础上的浮尘和砂粒；                                                 </w:t>
            </w:r>
            <w:r>
              <w:rPr>
                <w:rFonts w:hint="eastAsia" w:ascii="宋体" w:hAnsi="宋体" w:eastAsia="宋体" w:cs="宋体"/>
                <w:i w:val="0"/>
                <w:iCs w:val="0"/>
                <w:color w:val="auto"/>
                <w:sz w:val="21"/>
                <w:szCs w:val="21"/>
                <w:u w:val="none"/>
                <w:lang w:val="en-US" w:eastAsia="zh-CN" w:bidi="ar"/>
              </w:rPr>
              <w:t xml:space="preserve">                                                                                                                                                                                                                          2）黑色哑光不锈钢饰面踢脚线；                       </w:t>
            </w:r>
            <w:r>
              <w:rPr>
                <w:rFonts w:hint="eastAsia" w:ascii="宋体" w:hAnsi="宋体" w:eastAsia="宋体" w:cs="宋体"/>
                <w:i w:val="0"/>
                <w:iCs w:val="0"/>
                <w:color w:val="auto"/>
                <w:sz w:val="21"/>
                <w:szCs w:val="21"/>
                <w:u w:val="none"/>
                <w:lang w:val="en-US" w:eastAsia="zh-CN" w:bidi="ar"/>
              </w:rPr>
              <w:t xml:space="preserve">                                                                                                                                                                                                                                                       3）PVC地胶；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#4、线路改造：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1）强电：照明、插座2.5平方国标线材，PVC阻燃套管、阻燃型86盒，电线无接头、分线有盒，国标墙面地面插座、双控开关移位及增补；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2）弱电：PVC阻燃套管、阻燃型86盒，网线、音频线、视频线、控制线敷设及线头压制，配套各类接着头；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3）其他：除楼板以外均须开槽暗敷并修复，包含垃圾清运；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#5、照明：LED光源三基色栅格灯6组，外形尺寸约600×600mm，嵌入式安装，银色铝质型材边框，预留安装定位台阶面，边框厚度≤12（mm)；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#6、其他：全部文宣内容及装修样式，施工前需经采购方确认；包含施工垃圾清运。</w:t>
            </w:r>
            <w:r/>
          </w:p>
        </w:tc>
        <w:tc>
          <w:tcPr>
            <w:tcW w:w="44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color w:val="auto"/>
          <w:sz w:val="21"/>
          <w:szCs w:val="21"/>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bl>
      <w:tblPr>
        <w:tblStyle w:val="727"/>
        <w:tblW w:w="5833" w:type="pct"/>
        <w:tblInd w:w="-7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1302"/>
        <w:gridCol w:w="6263"/>
        <w:gridCol w:w="895"/>
        <w:gridCol w:w="711"/>
      </w:tblGrid>
      <w:tr>
        <w:trPr>
          <w:trHeight w:val="380"/>
        </w:trPr>
        <w:tc>
          <w:tcPr>
            <w:gridSpan w:val="5"/>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M、智能药品室 </w:t>
            </w:r>
            <w:r/>
          </w:p>
        </w:tc>
      </w:tr>
      <w:tr>
        <w:trPr>
          <w:trHeight w:val="52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tcW w:w="31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tcW w:w="4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1115"/>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M-01</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智能管理柜</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#1.产品整体规格尺寸：约1080×2000×540mm；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#2.智能管理柜设备支持RFID读写、双目摄像头人脸识别、二维码条码扫描、电子称重精确到0.1g、热敏标签打印，电控锁控制（支持单模块最大50锁控可选），</w:t>
            </w:r>
            <w:r>
              <w:rPr>
                <w:rFonts w:hint="eastAsia" w:ascii="宋体" w:hAnsi="宋体" w:cs="宋体"/>
                <w:i w:val="0"/>
                <w:iCs w:val="0"/>
                <w:strike w:val="0"/>
                <w:color w:val="auto"/>
                <w:sz w:val="21"/>
                <w:szCs w:val="21"/>
                <w:u w:val="none"/>
                <w:lang w:val="en-US" w:eastAsia="zh-CN" w:bidi="ar"/>
              </w:rPr>
              <w:t xml:space="preserve">支持</w:t>
            </w:r>
            <w:r>
              <w:rPr>
                <w:rFonts w:hint="eastAsia" w:ascii="宋体" w:hAnsi="宋体" w:eastAsia="宋体" w:cs="宋体"/>
                <w:i w:val="0"/>
                <w:iCs w:val="0"/>
                <w:color w:val="auto"/>
                <w:sz w:val="21"/>
                <w:szCs w:val="21"/>
                <w:u w:val="none"/>
                <w:lang w:val="en-US" w:eastAsia="zh-CN" w:bidi="ar"/>
              </w:rPr>
              <w:t xml:space="preserve">WINDOWS操作系统，支持联网组网，支持WIFI和网口联网，柜外壳体全部采用≥1.2mm的冷轧钢板，柜体底座采用≥2.0mm的冷轧钢板,内外表面经酸洗磷化环氧树脂粉末喷涂，烘热固化处理。柜体内胆（上，下、左、右内衬板）均采用PP（聚丙烯树脂）板，厚度≥4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#3.PP板所用的PP原材料需符合GB/T 1633-2000 </w:t>
            </w:r>
            <w:r>
              <w:rPr>
                <w:rFonts w:hint="eastAsia" w:ascii="宋体" w:hAnsi="宋体" w:eastAsia="宋体" w:cs="宋体"/>
                <w:i w:val="0"/>
                <w:iCs w:val="0"/>
                <w:strike w:val="0"/>
                <w:color w:val="auto"/>
                <w:sz w:val="21"/>
                <w:szCs w:val="21"/>
                <w:u w:val="none"/>
                <w:lang w:val="en-US" w:eastAsia="zh-CN" w:bidi="ar"/>
              </w:rPr>
              <w:t xml:space="preserve">维卡软化温度</w:t>
            </w:r>
            <w:r>
              <w:rPr>
                <w:rFonts w:hint="eastAsia" w:ascii="宋体" w:hAnsi="宋体" w:cs="宋体"/>
                <w:i w:val="0"/>
                <w:iCs w:val="0"/>
                <w:strike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检测结论：符合。依据GB/T 1634.1-</w:t>
            </w:r>
            <w:r>
              <w:rPr>
                <w:rFonts w:hint="eastAsia" w:ascii="宋体" w:hAnsi="宋体" w:cs="宋体"/>
                <w:i w:val="0"/>
                <w:iCs w:val="0"/>
                <w:strike w:val="0"/>
                <w:color w:val="auto"/>
                <w:sz w:val="21"/>
                <w:szCs w:val="21"/>
                <w:u w:val="none"/>
                <w:lang w:val="en-US" w:eastAsia="zh-CN" w:bidi="ar"/>
              </w:rPr>
              <w:t xml:space="preserve">2025</w:t>
            </w:r>
            <w:r>
              <w:rPr>
                <w:rFonts w:hint="eastAsia" w:ascii="宋体" w:hAnsi="宋体" w:eastAsia="宋体" w:cs="宋体"/>
                <w:i w:val="0"/>
                <w:iCs w:val="0"/>
                <w:color w:val="auto"/>
                <w:sz w:val="21"/>
                <w:szCs w:val="21"/>
                <w:u w:val="none"/>
                <w:lang w:val="en-US" w:eastAsia="zh-CN" w:bidi="ar"/>
              </w:rPr>
              <w:t xml:space="preserve">热变形温度检测，检测结论：符合。依据GB/T 9341-2008弯曲强度检测，检测结论：符合。依据GB/T 1843-2008悬臂梁缺口冲击强度检测，检测结论：符合。依据GB/T 2411-2008邵氏硬度检测，检测结论:符合。依据GB/T 1033.1-2008密度检测，检测结论:符合。依据GB/T 9345.1-2008灰分检测，检测结论:符合。</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.柜底部设置进风口；柜底装有四个移动尼龙轮，便于柜体移动；前轮后有2个手动调节螺杆，方便危化品</w:t>
            </w:r>
            <w:r>
              <w:rPr>
                <w:rFonts w:hint="eastAsia" w:ascii="宋体" w:hAnsi="宋体" w:eastAsia="宋体" w:cs="宋体"/>
                <w:i w:val="0"/>
                <w:iCs w:val="0"/>
                <w:color w:val="auto"/>
                <w:sz w:val="21"/>
                <w:szCs w:val="21"/>
                <w:u w:val="none"/>
                <w:lang w:val="en-US" w:eastAsia="zh-CN" w:bidi="ar"/>
              </w:rPr>
              <w:t xml:space="preserve">储存柜定位。柜顶部中间开有φ160mm的出风口，出风口可以与风管连接。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.智能称重模块精度1g,最大称重范围20KG；供电电压: DC5V，功耗:低于0.5W，传感器激励电压: 5V，采样速率: 10HZ或40Hz可设置，分辨率: &gt;10000分度，接口形式: RS485，适用环境温度: -40~85°C；</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.自动感应模块：产品尺寸：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50*50*10mm，工作电压：DC 12V，工作频率：865~868MHz.902~928MHz，工作模式：主动模式、被动模式、触发模式，跳频方式：广 谱跳频(FHSS)或定频，可由软件设置，通讯接口：USB、WG26/34、RS485，读卡功率：0~30dBm可调，天线增益：圆极化陶瓷天线，读卡距离：0-1米，功耗：最大功率不大于4W；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内嵌标签打印机耗材：热敏纸，默认固件支持热敏连续票据纸，可以定制热敏不干胶标签版本；纸宽：≥58mm；纸仓：&lt;40mm；切刀：带刀；打印速度：≥60mm/s；打印方式：行式热敏打印；打印内容：图形、条形码、一维码、二维码、字符；打印寿命：≥50公里。</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360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M-02</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智能管理系统</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#1.智能管理柜适用于试剂耗材、药品、危化品、麻醉剂等管制物品的存储管理，广泛应用于高校、实验室、科研院所、医疗机构、检测机构等行业；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#2.支持如下功能：库存管理：入</w:t>
            </w:r>
            <w:r>
              <w:rPr>
                <w:rFonts w:hint="eastAsia" w:ascii="宋体" w:hAnsi="宋体" w:eastAsia="宋体" w:cs="宋体"/>
                <w:i w:val="0"/>
                <w:iCs w:val="0"/>
                <w:color w:val="auto"/>
                <w:sz w:val="21"/>
                <w:szCs w:val="21"/>
                <w:u w:val="none"/>
                <w:lang w:val="en-US" w:eastAsia="zh-CN" w:bidi="ar"/>
              </w:rPr>
              <w:t xml:space="preserve">库登记（登记、审核、清单）；出库登记（登记、审核、清单）；库存查询(标签打印、标签RFID）；库存盘点；试剂使用（试剂领取、自动称重、自动感应、试剂归还、试剂报损）；台账（领取记录、归还记录、损坏记录）；柜子管理（开门控制(双人控制)、开门记录、开门状态）；通风控制（风机状态监控、风机开关）；ICSC（危害接触类型、急性危险/症状、预防、急救/消防）；统计报表（资产报表、运维报表）；风险管理（风险扫描、风险处理）；视频监控；账号权限（账号管理、人脸管理、角色管理）；身份认证（账户密码、人脸识别）；操作日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特色功能RFID标签智能感知，支持标签自助打印；试剂耗材自动称重，精确到0.1g;门锁远程控制、开门关门精确记录；人脸识别检测、支持离线操作，安全无风险；视频监控24小时全天候覆盖；风险自主扫描，危化品存储、使用风险早发现；试剂耗材低库存预警；支持最多1+N主副柜自由组合；支持管理柜的组网联网。</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22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M-03</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智能管理平台</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#1.支持对全校智能组合柜的远程管理，支持动态维护组合柜；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#2.支持远程开启关闭风机，查看视频监控、查看动态库存，低库存预警，库存查询。</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56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M-04</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标签纸</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#1.标签纸：芯片类型：U7/U8/U9/H3/H10；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#2.工作频率：860~960MHZ；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#3.工作协议:IS018000-6C；</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#4.工作温度:-40℃C~+85℃；</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1000</w:t>
            </w:r>
            <w:r/>
          </w:p>
        </w:tc>
        <w:tc>
          <w:tcPr>
            <w:tcW w:w="35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270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M-05</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监控录像机</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#1.网络硬盘录像机监控主机4路高清POE网线供电NVR满配4个摄像头带4T硬盘，网络视频输入：4路；网络视频带宽(输入/输出 )：40Mbps/60Mbps；HDMI输出：1路，分辨率:1920x1080/60Hz，1280x1024/60Hz1280x720/60Hz，1024x768/60Hz；VGA输出：1路，1920x1080/</w:t>
            </w:r>
            <w:r>
              <w:rPr>
                <w:rFonts w:hint="eastAsia" w:ascii="宋体" w:hAnsi="宋体" w:eastAsia="宋体" w:cs="宋体"/>
                <w:i w:val="0"/>
                <w:iCs w:val="0"/>
                <w:color w:val="auto"/>
                <w:sz w:val="21"/>
                <w:szCs w:val="21"/>
                <w:u w:val="none"/>
                <w:lang w:val="en-US" w:eastAsia="zh-CN" w:bidi="ar"/>
              </w:rPr>
              <w:t xml:space="preserve">60Hz，1280x1024/60Hz，1280x720/60Hz，1024x768/60Hz；音频输出：不支持；录像分辨率：4MP/3MP/1080p/UXGA/720p/VGA/4CIF/DCIF/2CIF/CIF/QCIF；同步回放：4；解码能力：4路1080P；视频解码格式：H.265/Smart 265/H.264/Smart 264；类型：1个SATA接口；最大容量：支持容量最大6TB的硬盘；存储容量：4TB；录像模式：手动录像、定时录像、移动侦测录像、报警录像、动测或报警录像、动测和报警录像；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#2.回放模式：即时回放、常规回放、事件回放、标签回放、外部文件回放；</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#3.备份模式：常规备份、事件备份；网络协议：IPv6、UPnP( 即插即用)、NTP( 网络校时)、SADP(设备网络搜索)、DHCP(自动获取IP地址)；网络接口：1个，RJ45 10M/100M自适应以太网口；USB接口：2个USB 2.0(后)；</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#4.PoE接口：4个，RJ45 10M/100M自适应以太网口；标准：IEEE 802.3af/at；输出功率：&lt;=36W；电源：DC 48V；工作温度：-10°C~+55°C；工作湿度：10%~90%；重量(不含硬盘）：&lt;=1kg；尺寸：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200mm(宽)x200mm(深)x48mm(高)；功耗(不含硬盘：&lt;=10w。</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68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M-06</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摄像头</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#1.存储编码：H.265，像素≥200万，焦距≥4mm，红外夜视距离≥30m，补光灯数量≥1个，供电方式：POE网络供电，夜视类型：红外夜视，探头个数≥1个，报警方式：手机推送；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.供网方式：网线，存储方式：硬盘，云存储；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.防水等级：无防水等级；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摄像头符合GB/T36480-2018《信息技术紧缩嵌入式摄像头通用规范》检测标准，检测项目包含功能：白平衡、背光补偿、数字降噪、宽动态、移动侦测、隐私遮挡等，分项判定均为：合格；视频：压缩、分辨率、视频调节等，分项判定均为：合格；网络：以太网、协议等，分项判定均为：合格；音频及音频输入，分项判定均为：合格。</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94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M-07</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风机</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#1.功率：110W，电压：AC220V；</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#2.风速：10.8m/s，静压：104Pa，噪音：50db，转速：1450r/min，口径：200mm，风量：1225立方米/h。</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W w:w="35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68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M-08</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试剂组合柜</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#1.产品尺寸：约900*2000*450mm；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#2.柜外壳体全部采用≥1.2mm的冷轧钢板，柜体底座采用≥2.0mm的冷轧钢板,内外表面经酸洗磷化环氧树脂粉末喷涂，烘热固化处理。柜体内胆（上，下、左、右内衬板）均采用PP（聚丙烯树脂）板，厚度≥4mm；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#3.通风控制装置：柜体底部应设置进风口及可调风阀，可调风阀旋转灵活，并能控制风量大小。通风管道口径宜采用Φ110mm，通风管应耐高温、阻燃、耐腐蚀。</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72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M-09</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药品柜</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技术参数同“L-09 药品柜”</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W w:w="355"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40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M-10</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灭火设备</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#1.4KG干粉灭火器，符合安全条例，满足意外事故需要；两个灭火器和1个灭火器箱。</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M-11</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通风系统（室内）</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#1.主通风管规格：φ160mm/200mm，PVC成品管道；</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#2.支管道规格：φ110mm/160mm，PVC成品管道；</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#3.管道配件：管道三通、弯头、变径、直接。</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室</w:t>
            </w:r>
            <w:r/>
          </w:p>
        </w:tc>
      </w:tr>
      <w:tr>
        <w:trPr>
          <w:trHeight w:val="52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M-12</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安装辅件</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#1.含固定支架、连接管、耗材等。</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室</w:t>
            </w:r>
            <w:r/>
          </w:p>
        </w:tc>
      </w:tr>
      <w:tr>
        <w:trPr>
          <w:trHeight w:val="520"/>
        </w:trPr>
        <w:tc>
          <w:tcPr>
            <w:tcW w:w="3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M-13</w:t>
            </w:r>
            <w:r/>
          </w:p>
        </w:tc>
        <w:tc>
          <w:tcPr>
            <w:tcW w:w="6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环境布置</w:t>
            </w:r>
            <w:r/>
          </w:p>
        </w:tc>
        <w:tc>
          <w:tcPr>
            <w:tcW w:w="315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技术参数同“L-17 环境布置”</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bl>
      <w:tblPr>
        <w:tblStyle w:val="727"/>
        <w:tblW w:w="5851" w:type="pct"/>
        <w:tblInd w:w="-74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328"/>
        <w:gridCol w:w="5945"/>
        <w:gridCol w:w="901"/>
        <w:gridCol w:w="918"/>
      </w:tblGrid>
      <w:tr>
        <w:trPr>
          <w:trHeight w:val="27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N、智能危化品室</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N-01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智能管理柜</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技术参数同“M-01 智能管理柜”</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N-02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智能管理系统</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技术参数同“M-02 智能管理系统”</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N-03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智能管理平台</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技术参数同“M-03 智能管理平台”</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N-04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标签纸</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技术参数同“M-04 标签纸”</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N-05</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监控录像机</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技术参数同“M-05 监控录像机”</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N-06</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摄像头</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技术参数同“M-06 摄像头”</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N-07</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风机</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技术参数同“M-07 风机”</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60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N-08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危险品柜</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#1.尺寸：约700*2000*450mm；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#2.柜外壳体全部采用≥1.2mm的冷轧钢板，柜体底座采用≥2.0mm的冷轧钢板,内外表面经酸洗磷化环氧树脂粉末喷涂，烘热固化处理。柜体内胆（上，下、左、右内衬板）均采用PP（聚丙烯树脂）板，厚度≥4mm；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#3.柜底部设置进风口；柜底装有四个移动尼龙轮，便于柜体移动；前轮后有2个手动调节螺杆，方便危化品储存柜定位。柜顶部中间开有φ110mm的出风口，出风口可以与风管连接；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#4.通风控制装置：柜体底部应设置进风口及可调风阀，可调风阀旋转灵活，并能控制风量大小。通风管道口径宜采用Φ110mm，通风管应耐高温、阻燃、耐腐蚀。</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91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N-09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毒害品储存柜</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#1.尺寸：约700*2000*450mm；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#2.柜外壳体全部采用≥1.2mm的冷轧钢板，柜体底座采用≥2.0mm的冷轧钢板,内外表面经酸洗磷化环氧树脂粉末喷涂，烘热固化处理。柜体内胆（上，下、左、右内衬板）均采用PP（聚丙烯树脂）板，厚度≥4mm；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柜底部设置进风口；柜底装有四个移动尼龙轮，便于柜体移动；前轮后有2个手动调节螺杆，方便危化品储存柜定位。柜顶部中间开有φ110mm的出风口，出风口与风管连接密封件：柜体门与柜体之间应安装防火膨胀；</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#4.通风控制装置：柜体底部应设置进风口及可调风阀，可调风阀旋转灵活，并能控制风量大小。通风管道口径宜采用Φ110mm，通风管应耐高温、阻燃、耐腐蚀。                                                                                                                             </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392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N-10</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易燃易爆品储存柜</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700*2000*450mm；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#2.整体为双层≥1.2mm防火钢板构造，两层钢板之间间隔≥40mm，内填特种防火材料，防火性能更为卓越。柜体采用全焊接；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#3.内外部喷涂前经酸洗磷化处理后覆有环氧和聚酯混合耐防化无铅涂层，保持高光洁度并最大限度的降低腐蚀和湿气及紫外线的影响.红色和蓝色柜分别用进口粉做氟碳喷涂；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#4.采用冷轧钢板，醒目的反光标签，在火灾情况下具有高可见性，焊接的隔板挂钩连接隔板具有防爆性能；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#5.镀锌层板，防腐蚀，防液漏，层板具有≥150公斤承重力。蓄液槽高度为≥50mm；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#6.柜身底部≥50mm高的防漏液槽最大可能的防止化学液体的外溢；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#7.柜身设有静电接地传导端口，方便连接静电接地导线；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#8.内置消焰装置通风口，位于柜体两侧，更好地保持通风和排气。</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81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N-11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通风系统（室内）</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#1.主通风管规格：φ160mm/200mm，PVC成品管道；</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#2.支管道规格：φ110mm/160mm，PVC成品管道；</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#3.管道配件：管道三通、弯头、变径、直接。</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室</w:t>
            </w:r>
            <w:r/>
          </w:p>
        </w:tc>
      </w:tr>
      <w:tr>
        <w:trPr>
          <w:trHeight w:val="485"/>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N-12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突发事件接警云平台</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系统统计显示内容：可对报警设备总数统计，包括设备在线率、设备总数、在线设备、离线设备、报警设备、预警数量以及监测时长等数据展示。设备在线列表：可展示报警设备所在空间名称、设备编号、设备名称、设备在线/离线状态以及上一次在线时间等信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信息处理：应当突发事件接警云平台电脑客户端弹出警情信息，可以进行查看具体的报警信息（地图、搜索经度、纬度、地址、备注信息），并且能够对该报警信息作出上报、误报、开警号、关警号、防护、停警声等相应的处理操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平台系统可采用云服务器部署方式，支持广域网操作和管理，学校用户支持通过电脑端或手机端完成所有的管理操作，方便学校进行账户管理，可以对学校、组织机构、监测楼栋以及监测空间进行管理操作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#4.账号管理：应可以刷新、新增系统管理员、修改管理员、删除管理员、搜索管理员账号等相应的操作；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#5.设备报警记录：应可以刷新、生成Excel、搜索、查看处理状态、警情、报警时间、联系电话、地址、设备编码、防区、设备MAC、接警人、微信接警人、处理时间、地图、监控视频、防区图、离线地图；</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互联功能：应可以与系统主机联接，当系统主机接收到与其相连接的系统分机、移动式报警控制器发出的报警信号时，系统主机应可以通过网线或SIM卡联网方式将报警信号传输至与其相连的突发事件接警云平台电脑客户端、手机APP软件或微信端以及Internet网页端接收到报警信息后，应可以自动弹出具体的警情信息、地图（包含经度、纬度、地址、地图位置）、电话、防区、报警时间、设备MAC等信息；接警客户端接收到报警信息后，显示报警信息的同时，自动开启播放</w:t>
            </w:r>
            <w:r>
              <w:rPr>
                <w:rFonts w:hint="eastAsia" w:ascii="宋体" w:hAnsi="宋体" w:cs="宋体"/>
                <w:i w:val="0"/>
                <w:iCs w:val="0"/>
                <w:color w:val="auto"/>
                <w:sz w:val="21"/>
                <w:szCs w:val="21"/>
                <w:u w:val="none"/>
                <w:lang w:val="en-US" w:eastAsia="zh-CN" w:bidi="ar"/>
              </w:rPr>
              <w:t xml:space="preserve">与</w:t>
            </w:r>
            <w:r>
              <w:rPr>
                <w:rFonts w:hint="eastAsia" w:ascii="宋体" w:hAnsi="宋体" w:eastAsia="宋体" w:cs="宋体"/>
                <w:i w:val="0"/>
                <w:iCs w:val="0"/>
                <w:color w:val="auto"/>
                <w:sz w:val="21"/>
                <w:szCs w:val="21"/>
                <w:u w:val="none"/>
                <w:lang w:val="en-US" w:eastAsia="zh-CN" w:bidi="ar"/>
              </w:rPr>
              <w:t xml:space="preserve">主机对应的警报声，方便师生、安保负责人通过警报声辨别何种突发事件来临，做出正确的应对措施；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设备管理：应可以刷新，新增设备，生成Excel，选择、查看设备编码、设备MAC、设备状态、设备地址、防区图、监控视频、离线地图、修改设备设置、删除设备、冻结、恢复、布防、撤防、全选、设置设备内容信息、搜索等相应的操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可以刷新，新增、修改、删除以及查询报警联系人，当发生应急突发事件报警时，支持以电话、短信的方式通知报警联系人，对报警设备进行报警参数进行配置管理，可选择报警设备，设置相应的推送方式、推送次数以及报警联系人，可以按照防区字段、报警设备类型进行分类查询，展示报警设备所在空间名称、设备编号、设备名称、设备在线/离线状态以及上一次在线时间等信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#9.数据统计分析：应将设备、设备警情记录、非法撤防记录、设备不在线记录按天、按月、按年进行统计，每种数据统计结果按照已处理、误报、撤防、布防四种情况进行分类,通过扇形图的方式进行直观呈现；</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N-13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安装辅件</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#1.含固定支架、连接管、耗材等。</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室</w:t>
            </w:r>
            <w:r/>
          </w:p>
        </w:tc>
      </w:tr>
      <w:tr>
        <w:trPr>
          <w:trHeight w:val="270"/>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N-14</w:t>
            </w:r>
            <w:r/>
          </w:p>
        </w:tc>
        <w:tc>
          <w:tcPr>
            <w:tcBorders>
              <w:top w:val="non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环境布置</w:t>
            </w:r>
            <w:r/>
          </w:p>
        </w:tc>
        <w:tc>
          <w:tcPr>
            <w:tcBorders>
              <w:top w:val="single" w:color="000000" w:sz="4" w:space="0"/>
              <w:left w:val="single" w:color="000000" w:sz="4" w:space="0"/>
              <w:bottom w:val="single" w:color="000000" w:sz="4" w:space="0"/>
              <w:right w:val="single" w:color="000000" w:sz="4" w:space="0"/>
            </w:tcBorders>
            <w:tcW w:w="298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技术参数同“L-17 环境布置”</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bl>
      <w:tblPr>
        <w:tblStyle w:val="727"/>
        <w:tblW w:w="5851" w:type="pct"/>
        <w:tblInd w:w="-7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8"/>
        <w:gridCol w:w="1291"/>
        <w:gridCol w:w="5938"/>
        <w:gridCol w:w="946"/>
        <w:gridCol w:w="899"/>
      </w:tblGrid>
      <w:tr>
        <w:trPr>
          <w:trHeight w:val="700"/>
        </w:trPr>
        <w:tc>
          <w:tcPr>
            <w:gridSpan w:val="5"/>
            <w:tcW w:w="5000"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O、物理准备室</w:t>
            </w:r>
            <w:r/>
          </w:p>
        </w:tc>
      </w:tr>
      <w:tr>
        <w:trPr>
          <w:trHeight w:val="800"/>
        </w:trPr>
        <w:tc>
          <w:tcPr>
            <w:tcW w:w="4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tcW w:w="6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tcW w:w="297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tcW w:w="47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tcW w:w="4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640"/>
        </w:trPr>
        <w:tc>
          <w:tcPr>
            <w:tcW w:w="4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O-01</w:t>
            </w:r>
            <w:r/>
          </w:p>
        </w:tc>
        <w:tc>
          <w:tcPr>
            <w:tcW w:w="64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准备台</w:t>
            </w:r>
            <w:r/>
          </w:p>
        </w:tc>
        <w:tc>
          <w:tcPr>
            <w:tcW w:w="297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技术参数同“L-01 准备台”</w:t>
            </w:r>
            <w:r/>
          </w:p>
        </w:tc>
        <w:tc>
          <w:tcPr>
            <w:tcW w:w="47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740"/>
        </w:trPr>
        <w:tc>
          <w:tcPr>
            <w:tcW w:w="4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O-02</w:t>
            </w:r>
            <w:r/>
          </w:p>
        </w:tc>
        <w:tc>
          <w:tcPr>
            <w:tcW w:w="64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仪器储存柜</w:t>
            </w:r>
            <w:r/>
          </w:p>
        </w:tc>
        <w:tc>
          <w:tcPr>
            <w:tcW w:w="297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技术参数同“L-09 药品柜”</w:t>
            </w:r>
            <w:r/>
          </w:p>
        </w:tc>
        <w:tc>
          <w:tcPr>
            <w:tcW w:w="4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740"/>
        </w:trPr>
        <w:tc>
          <w:tcPr>
            <w:tcW w:w="45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O-03</w:t>
            </w:r>
            <w:r/>
          </w:p>
        </w:tc>
        <w:tc>
          <w:tcPr>
            <w:tcW w:w="64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环境布置</w:t>
            </w:r>
            <w:r/>
          </w:p>
        </w:tc>
        <w:tc>
          <w:tcPr>
            <w:tcW w:w="297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技术参数同“L-17 环境布置”</w:t>
            </w:r>
            <w:r/>
          </w:p>
        </w:tc>
        <w:tc>
          <w:tcPr>
            <w:tcW w:w="47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450"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bl>
      <w:tblPr>
        <w:tblStyle w:val="727"/>
        <w:tblW w:w="5833" w:type="pct"/>
        <w:tblInd w:w="-71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65"/>
        <w:gridCol w:w="1328"/>
        <w:gridCol w:w="5933"/>
        <w:gridCol w:w="952"/>
        <w:gridCol w:w="864"/>
      </w:tblGrid>
      <w:tr>
        <w:trPr>
          <w:trHeight w:val="6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P、生物准备室1</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P-01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准备台</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技术参数同“L-01 准备台”</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P-02</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三联水嘴</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技术参数同“A1-09 三联水嘴”</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P-03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上水装置</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技术参数同“A1-07 上水装置”</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P-04</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下水装置</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技术参数同“A1-08 下水装置”</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P-05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试剂架</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技术参数同“L-05 试剂架”</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P-06</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滴水架</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技术参数同“L-06 滴水架”</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P-07</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单口洗眼器</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技术参数同“A1-11 单口洗眼器”</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P-08</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仪器柜</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技术参数同“L-09 药品柜”</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P-09</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环境布置</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技术参数同“L-17 环境布置”</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bl>
      <w:tblPr>
        <w:tblStyle w:val="727"/>
        <w:tblW w:w="5806" w:type="pct"/>
        <w:tblInd w:w="-6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1"/>
        <w:gridCol w:w="1330"/>
        <w:gridCol w:w="5949"/>
        <w:gridCol w:w="936"/>
        <w:gridCol w:w="820"/>
      </w:tblGrid>
      <w:tr>
        <w:trPr>
          <w:trHeight w:val="480"/>
        </w:trPr>
        <w:tc>
          <w:tcPr>
            <w:gridSpan w:val="5"/>
            <w:tcW w:w="5000"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Q、生物准备室2</w:t>
            </w:r>
            <w:r/>
          </w:p>
        </w:tc>
      </w:tr>
      <w:tr>
        <w:trPr>
          <w:trHeight w:val="580"/>
        </w:trPr>
        <w:tc>
          <w:tcPr>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tcW w:w="6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tcW w:w="300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tcW w:w="4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1100"/>
        </w:trPr>
        <w:tc>
          <w:tcPr>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Q-01</w:t>
            </w:r>
            <w:r/>
          </w:p>
        </w:tc>
        <w:tc>
          <w:tcPr>
            <w:tcW w:w="6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实验室水槽</w:t>
            </w:r>
            <w:r/>
          </w:p>
        </w:tc>
        <w:tc>
          <w:tcPr>
            <w:tcW w:w="300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#1、采用实验室专用高密度PP一体化成型水槽，易清洁，耐腐蚀，耐酸碱、耐有机溶剂、耐紫外线。</w:t>
            </w:r>
            <w:r/>
          </w:p>
        </w:tc>
        <w:tc>
          <w:tcPr>
            <w:tcW w:w="4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1100"/>
        </w:trPr>
        <w:tc>
          <w:tcPr>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Q-02</w:t>
            </w:r>
            <w:r/>
          </w:p>
        </w:tc>
        <w:tc>
          <w:tcPr>
            <w:tcW w:w="6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三联水嘴</w:t>
            </w:r>
            <w:r/>
          </w:p>
        </w:tc>
        <w:tc>
          <w:tcPr>
            <w:tcW w:w="300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技术参数同“A1-09 三联水嘴”</w:t>
            </w:r>
            <w:r/>
          </w:p>
        </w:tc>
        <w:tc>
          <w:tcPr>
            <w:tcW w:w="4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100"/>
        </w:trPr>
        <w:tc>
          <w:tcPr>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Q-03</w:t>
            </w:r>
            <w:r/>
          </w:p>
        </w:tc>
        <w:tc>
          <w:tcPr>
            <w:tcW w:w="6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洗眼器</w:t>
            </w:r>
            <w:r/>
          </w:p>
        </w:tc>
        <w:tc>
          <w:tcPr>
            <w:tcW w:w="300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#1、洗眼喷头：采用不助燃PC材质模铸一体成形制作，具有过滤泡棉及防尘功能，上面防尘盖平常可防尘，使用时可随时被水冲开，并降低突然打开时短暂的高水压，避免冲伤眼睛。</w:t>
            </w:r>
            <w:r/>
          </w:p>
        </w:tc>
        <w:tc>
          <w:tcPr>
            <w:tcW w:w="47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 </w:t>
            </w:r>
            <w:r/>
          </w:p>
        </w:tc>
        <w:tc>
          <w:tcPr>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445"/>
        </w:trPr>
        <w:tc>
          <w:tcPr>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Q-04</w:t>
            </w:r>
            <w:r/>
          </w:p>
        </w:tc>
        <w:tc>
          <w:tcPr>
            <w:tcW w:w="6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边台</w:t>
            </w:r>
            <w:r/>
          </w:p>
        </w:tc>
        <w:tc>
          <w:tcPr>
            <w:tcW w:w="300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#1、全钢结构</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3000×700×850mm；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#2、台面：采用≥12mm厚双面膜实芯理化板台面，台面边缘用同质材料板双层加厚；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#3、柜体：整体采用≥1.0mm厚冷轧钢板，全部钢制件镀膜防锈处理；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#4、防撞胶垫：装于抽屉及门板内侧，减缓碰撞，保护柜体；</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#5、铰链：采用平板铰链(中号)，开合十万次不变形；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#6、滑轨：抽屉全部采用三节滚珠轨，开合十万次不变形，承重性强，滑动性能良好，无噪音；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#7、调整脚：柜体内可调节镀锌铁质调整脚；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#8、抽屉及门板的材质，横梁框架的材质：采用≥1.0mm厚冷轧钢板，全部钢制件镀膜防锈处理；</w:t>
            </w:r>
            <w:r/>
          </w:p>
        </w:tc>
        <w:tc>
          <w:tcPr>
            <w:tcW w:w="4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1280"/>
        </w:trPr>
        <w:tc>
          <w:tcPr>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Q-05</w:t>
            </w:r>
            <w:r/>
          </w:p>
        </w:tc>
        <w:tc>
          <w:tcPr>
            <w:tcW w:w="6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药品、仪器储存柜</w:t>
            </w:r>
            <w:r/>
          </w:p>
        </w:tc>
        <w:tc>
          <w:tcPr>
            <w:tcW w:w="300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技术参数同“L-09 药品柜”</w:t>
            </w:r>
            <w:r/>
          </w:p>
        </w:tc>
        <w:tc>
          <w:tcPr>
            <w:tcW w:w="47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W w:w="411"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620"/>
        </w:trPr>
        <w:tc>
          <w:tcPr>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Q-06</w:t>
            </w:r>
            <w:r/>
          </w:p>
        </w:tc>
        <w:tc>
          <w:tcPr>
            <w:tcW w:w="67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供排水系统</w:t>
            </w:r>
            <w:r/>
          </w:p>
        </w:tc>
        <w:tc>
          <w:tcPr>
            <w:tcW w:w="300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#1、进水管采用 PP-R 管，主管直径≥25mm；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#2、排水管采用 PVC-U 管，管直径≥50mm；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#3、弯头、直接、三通、外丝管套、生料带、PVC、管胶水等；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#4、上水管采用不锈钢波纹管编织软管，长度不小于 75cm，下水管采用硅胶接口 PVC 软管；</w:t>
            </w:r>
            <w:r/>
          </w:p>
        </w:tc>
        <w:tc>
          <w:tcPr>
            <w:tcW w:w="47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41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室</w:t>
            </w:r>
            <w:r/>
          </w:p>
        </w:tc>
      </w:tr>
      <w:tr>
        <w:trPr>
          <w:trHeight w:val="680"/>
        </w:trPr>
        <w:tc>
          <w:tcPr>
            <w:tcW w:w="43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Q-07</w:t>
            </w:r>
            <w:r/>
          </w:p>
        </w:tc>
        <w:tc>
          <w:tcPr>
            <w:tcW w:w="67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环境布置</w:t>
            </w:r>
            <w:r/>
          </w:p>
        </w:tc>
        <w:tc>
          <w:tcPr>
            <w:tcW w:w="3006"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技术参数同“L-17 环境布置”</w:t>
            </w:r>
            <w:r/>
          </w:p>
        </w:tc>
        <w:tc>
          <w:tcPr>
            <w:tcW w:w="47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411"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bl>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numPr>
          <w:ilvl w:val="0"/>
          <w:numId w:val="0"/>
        </w:numPr>
        <w:ind w:left="0" w:right="0" w:firstLine="420"/>
        <w:keepLines w:val="0"/>
        <w:keepNext w:val="0"/>
        <w:pageBreakBefore w:val="0"/>
        <w:spacing w:beforeAutospacing="0" w:afterAutospacing="0"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numPr>
          <w:ilvl w:val="0"/>
          <w:numId w:val="0"/>
        </w:numPr>
        <w:ind w:left="0" w:right="0" w:firstLine="420"/>
        <w:keepLines w:val="0"/>
        <w:keepNext w:val="0"/>
        <w:pageBreakBefore w:val="0"/>
        <w:spacing w:beforeAutospacing="0" w:afterAutospacing="0"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numPr>
          <w:ilvl w:val="0"/>
          <w:numId w:val="0"/>
        </w:numPr>
        <w:ind w:left="0" w:right="0" w:firstLine="420"/>
        <w:keepLines w:val="0"/>
        <w:keepNext w:val="0"/>
        <w:pageBreakBefore w:val="0"/>
        <w:spacing w:beforeAutospacing="0" w:afterAutospacing="0"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numPr>
          <w:ilvl w:val="0"/>
          <w:numId w:val="0"/>
        </w:numPr>
        <w:ind w:left="0" w:right="0" w:firstLine="420"/>
        <w:keepLines w:val="0"/>
        <w:keepNext w:val="0"/>
        <w:pageBreakBefore w:val="0"/>
        <w:spacing w:beforeAutospacing="0" w:afterAutospacing="0" w:line="400" w:lineRule="exact"/>
        <w:rPr>
          <w:rFonts w:hint="eastAsia" w:ascii="宋体" w:hAnsi="宋体" w:eastAsia="宋体" w:cs="宋体"/>
          <w:color w:val="auto"/>
          <w:sz w:val="21"/>
          <w:szCs w:val="21"/>
          <w:highlight w:val="none"/>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21"/>
          <w:szCs w:val="21"/>
          <w:highlight w:val="none"/>
          <w:lang w:val="en-US" w:eastAsia="zh-CN" w:bidi="ar-SA"/>
        </w:rPr>
      </w:r>
      <w:r/>
    </w:p>
    <w:p>
      <w:pPr>
        <w:numPr>
          <w:ilvl w:val="0"/>
          <w:numId w:val="0"/>
        </w:numPr>
        <w:ind w:right="0"/>
        <w:keepLines w:val="0"/>
        <w:keepNext w:val="0"/>
        <w:pageBreakBefore w:val="0"/>
        <w:spacing w:beforeAutospacing="0" w:afterAutospacing="0" w:line="400" w:lineRule="exac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p>
      <w:pPr>
        <w:numPr>
          <w:ilvl w:val="0"/>
          <w:numId w:val="0"/>
        </w:numPr>
        <w:ind w:right="0"/>
        <w:keepLines w:val="0"/>
        <w:keepNext w:val="0"/>
        <w:pageBreakBefore w:val="0"/>
        <w:spacing w:beforeAutospacing="0" w:afterAutospacing="0" w:line="400" w:lineRule="exac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r>
      <w:r/>
    </w:p>
    <w:tbl>
      <w:tblPr>
        <w:tblStyle w:val="727"/>
        <w:tblW w:w="497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34"/>
        <w:gridCol w:w="4936"/>
        <w:gridCol w:w="1233"/>
        <w:gridCol w:w="1237"/>
        <w:gridCol w:w="1263"/>
      </w:tblGrid>
      <w:tr>
        <w:trPr>
          <w:trHeight w:val="68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泗洪姜堰实验学校初中部功能室、实验室采购项目采购包2</w:t>
            </w:r>
            <w:r>
              <w:rPr>
                <w:rFonts w:hint="eastAsia" w:ascii="宋体" w:hAnsi="宋体" w:eastAsia="宋体" w:cs="宋体"/>
                <w:b/>
                <w:bCs/>
                <w:i w:val="0"/>
                <w:iCs w:val="0"/>
                <w:color w:val="auto"/>
                <w:sz w:val="21"/>
                <w:szCs w:val="21"/>
                <w:u w:val="none"/>
                <w:lang w:val="en-US" w:eastAsia="zh-CN" w:bidi="ar"/>
              </w:rPr>
              <w:br/>
            </w:r>
            <w:r>
              <w:rPr>
                <w:rFonts w:hint="eastAsia" w:ascii="宋体" w:hAnsi="宋体" w:eastAsia="宋体" w:cs="宋体"/>
                <w:b/>
                <w:bCs/>
                <w:i w:val="0"/>
                <w:iCs w:val="0"/>
                <w:color w:val="auto"/>
                <w:sz w:val="21"/>
                <w:szCs w:val="21"/>
                <w:u w:val="none"/>
                <w:lang w:val="en-US" w:eastAsia="zh-CN" w:bidi="ar"/>
              </w:rPr>
              <w:t xml:space="preserve">采购清单明细表及技术参数要求</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功能室科目名称</w:t>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备注</w:t>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"'AA-生物标本室'!A1" </w:instrText>
            </w:r>
            <w:r>
              <w:rPr>
                <w:rFonts w:hint="eastAsia" w:ascii="宋体" w:hAnsi="宋体" w:eastAsia="宋体" w:cs="宋体"/>
                <w:i w:val="0"/>
                <w:iCs w:val="0"/>
                <w:color w:val="auto"/>
                <w:sz w:val="21"/>
                <w:szCs w:val="21"/>
                <w:u w:val="none"/>
                <w:lang w:val="en-US" w:eastAsia="zh-CN" w:bidi="ar"/>
              </w:rPr>
              <w:fldChar w:fldCharType="separate"/>
            </w:r>
            <w:r>
              <w:rPr>
                <w:rStyle w:val="751"/>
                <w:rFonts w:hint="eastAsia" w:ascii="宋体" w:hAnsi="宋体" w:eastAsia="宋体" w:cs="宋体"/>
                <w:i w:val="0"/>
                <w:iCs w:val="0"/>
                <w:color w:val="auto"/>
                <w:sz w:val="21"/>
                <w:szCs w:val="21"/>
                <w:u w:val="none"/>
              </w:rPr>
              <w:t xml:space="preserve">AA-生物标本室</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五层</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"'AB-历史地理教室'!A1" </w:instrText>
            </w:r>
            <w:r>
              <w:rPr>
                <w:rFonts w:hint="eastAsia" w:ascii="宋体" w:hAnsi="宋体" w:eastAsia="宋体" w:cs="宋体"/>
                <w:i w:val="0"/>
                <w:iCs w:val="0"/>
                <w:color w:val="auto"/>
                <w:sz w:val="21"/>
                <w:szCs w:val="21"/>
                <w:u w:val="none"/>
                <w:lang w:val="en-US" w:eastAsia="zh-CN" w:bidi="ar"/>
              </w:rPr>
              <w:fldChar w:fldCharType="separate"/>
            </w:r>
            <w:r>
              <w:rPr>
                <w:rStyle w:val="751"/>
                <w:rFonts w:hint="eastAsia" w:ascii="宋体" w:hAnsi="宋体" w:eastAsia="宋体" w:cs="宋体"/>
                <w:i w:val="0"/>
                <w:iCs w:val="0"/>
                <w:color w:val="auto"/>
                <w:sz w:val="21"/>
                <w:szCs w:val="21"/>
                <w:u w:val="none"/>
              </w:rPr>
              <w:t xml:space="preserve">AB-历史地理教室</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四层</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"'AC-生物园地'!A1" </w:instrText>
            </w:r>
            <w:r>
              <w:rPr>
                <w:rFonts w:hint="eastAsia" w:ascii="宋体" w:hAnsi="宋体" w:eastAsia="宋体" w:cs="宋体"/>
                <w:i w:val="0"/>
                <w:iCs w:val="0"/>
                <w:color w:val="auto"/>
                <w:sz w:val="21"/>
                <w:szCs w:val="21"/>
                <w:u w:val="none"/>
                <w:lang w:val="en-US" w:eastAsia="zh-CN" w:bidi="ar"/>
              </w:rPr>
              <w:fldChar w:fldCharType="separate"/>
            </w:r>
            <w:r>
              <w:rPr>
                <w:rStyle w:val="751"/>
                <w:rFonts w:hint="eastAsia" w:ascii="宋体" w:hAnsi="宋体" w:eastAsia="宋体" w:cs="宋体"/>
                <w:i w:val="0"/>
                <w:iCs w:val="0"/>
                <w:color w:val="auto"/>
                <w:sz w:val="21"/>
                <w:szCs w:val="21"/>
                <w:u w:val="none"/>
              </w:rPr>
              <w:t xml:space="preserve">AC-生物园地</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五层</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"'AD-4K精品录播系统'!A1" </w:instrText>
            </w:r>
            <w:r>
              <w:rPr>
                <w:rFonts w:hint="eastAsia" w:ascii="宋体" w:hAnsi="宋体" w:eastAsia="宋体" w:cs="宋体"/>
                <w:i w:val="0"/>
                <w:iCs w:val="0"/>
                <w:color w:val="auto"/>
                <w:sz w:val="21"/>
                <w:szCs w:val="21"/>
                <w:u w:val="none"/>
                <w:lang w:val="en-US" w:eastAsia="zh-CN" w:bidi="ar"/>
              </w:rPr>
              <w:fldChar w:fldCharType="separate"/>
            </w:r>
            <w:r>
              <w:rPr>
                <w:rStyle w:val="751"/>
                <w:rFonts w:hint="eastAsia" w:ascii="宋体" w:hAnsi="宋体" w:eastAsia="宋体" w:cs="宋体"/>
                <w:i w:val="0"/>
                <w:iCs w:val="0"/>
                <w:color w:val="auto"/>
                <w:sz w:val="21"/>
                <w:szCs w:val="21"/>
                <w:u w:val="none"/>
              </w:rPr>
              <w:t xml:space="preserve">AD-4K精品录播教室</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五层</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"'AE-初中化学仪器'!A1" </w:instrText>
            </w:r>
            <w:r>
              <w:rPr>
                <w:rFonts w:hint="eastAsia" w:ascii="宋体" w:hAnsi="宋体" w:eastAsia="宋体" w:cs="宋体"/>
                <w:i w:val="0"/>
                <w:iCs w:val="0"/>
                <w:color w:val="auto"/>
                <w:sz w:val="21"/>
                <w:szCs w:val="21"/>
                <w:u w:val="none"/>
                <w:lang w:val="en-US" w:eastAsia="zh-CN" w:bidi="ar"/>
              </w:rPr>
              <w:fldChar w:fldCharType="separate"/>
            </w:r>
            <w:r>
              <w:rPr>
                <w:rStyle w:val="751"/>
                <w:rFonts w:hint="eastAsia" w:ascii="宋体" w:hAnsi="宋体" w:eastAsia="宋体" w:cs="宋体"/>
                <w:i w:val="0"/>
                <w:iCs w:val="0"/>
                <w:color w:val="auto"/>
                <w:sz w:val="21"/>
                <w:szCs w:val="21"/>
                <w:u w:val="none"/>
              </w:rPr>
              <w:t xml:space="preserve">AE-初中化学仪器</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"'AF-初中生物仪器'!A1" </w:instrText>
            </w:r>
            <w:r>
              <w:rPr>
                <w:rFonts w:hint="eastAsia" w:ascii="宋体" w:hAnsi="宋体" w:eastAsia="宋体" w:cs="宋体"/>
                <w:i w:val="0"/>
                <w:iCs w:val="0"/>
                <w:color w:val="auto"/>
                <w:sz w:val="21"/>
                <w:szCs w:val="21"/>
                <w:u w:val="none"/>
                <w:lang w:val="en-US" w:eastAsia="zh-CN" w:bidi="ar"/>
              </w:rPr>
              <w:fldChar w:fldCharType="separate"/>
            </w:r>
            <w:r>
              <w:rPr>
                <w:rStyle w:val="751"/>
                <w:rFonts w:hint="eastAsia" w:ascii="宋体" w:hAnsi="宋体" w:eastAsia="宋体" w:cs="宋体"/>
                <w:i w:val="0"/>
                <w:iCs w:val="0"/>
                <w:color w:val="auto"/>
                <w:sz w:val="21"/>
                <w:szCs w:val="21"/>
                <w:u w:val="none"/>
              </w:rPr>
              <w:t xml:space="preserve">AF-初中生物仪器</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"'AG-初中物理仪器'!A1" </w:instrText>
            </w:r>
            <w:r>
              <w:rPr>
                <w:rFonts w:hint="eastAsia" w:ascii="宋体" w:hAnsi="宋体" w:eastAsia="宋体" w:cs="宋体"/>
                <w:i w:val="0"/>
                <w:iCs w:val="0"/>
                <w:color w:val="auto"/>
                <w:sz w:val="21"/>
                <w:szCs w:val="21"/>
                <w:u w:val="none"/>
                <w:lang w:val="en-US" w:eastAsia="zh-CN" w:bidi="ar"/>
              </w:rPr>
              <w:fldChar w:fldCharType="separate"/>
            </w:r>
            <w:r>
              <w:rPr>
                <w:rStyle w:val="751"/>
                <w:rFonts w:hint="eastAsia" w:ascii="宋体" w:hAnsi="宋体" w:eastAsia="宋体" w:cs="宋体"/>
                <w:i w:val="0"/>
                <w:iCs w:val="0"/>
                <w:color w:val="auto"/>
                <w:sz w:val="21"/>
                <w:szCs w:val="21"/>
                <w:u w:val="none"/>
              </w:rPr>
              <w:t xml:space="preserve">AG-初中物理仪器</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"'AH-劳技教室1'!A1" </w:instrText>
            </w:r>
            <w:r>
              <w:rPr>
                <w:rFonts w:hint="eastAsia" w:ascii="宋体" w:hAnsi="宋体" w:eastAsia="宋体" w:cs="宋体"/>
                <w:i w:val="0"/>
                <w:iCs w:val="0"/>
                <w:color w:val="auto"/>
                <w:sz w:val="21"/>
                <w:szCs w:val="21"/>
                <w:u w:val="none"/>
                <w:lang w:val="en-US" w:eastAsia="zh-CN" w:bidi="ar"/>
              </w:rPr>
              <w:fldChar w:fldCharType="separate"/>
            </w:r>
            <w:r>
              <w:rPr>
                <w:rStyle w:val="751"/>
                <w:rFonts w:hint="eastAsia" w:ascii="宋体" w:hAnsi="宋体" w:eastAsia="宋体" w:cs="宋体"/>
                <w:i w:val="0"/>
                <w:iCs w:val="0"/>
                <w:color w:val="auto"/>
                <w:sz w:val="21"/>
                <w:szCs w:val="21"/>
                <w:u w:val="none"/>
              </w:rPr>
              <w:t xml:space="preserve">AH-劳技教室1</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一层</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"'AI-劳技教室2'!A1" </w:instrText>
            </w:r>
            <w:r>
              <w:rPr>
                <w:rFonts w:hint="eastAsia" w:ascii="宋体" w:hAnsi="宋体" w:eastAsia="宋体" w:cs="宋体"/>
                <w:i w:val="0"/>
                <w:iCs w:val="0"/>
                <w:color w:val="auto"/>
                <w:sz w:val="21"/>
                <w:szCs w:val="21"/>
                <w:u w:val="none"/>
                <w:lang w:val="en-US" w:eastAsia="zh-CN" w:bidi="ar"/>
              </w:rPr>
              <w:fldChar w:fldCharType="separate"/>
            </w:r>
            <w:r>
              <w:rPr>
                <w:rStyle w:val="751"/>
                <w:rFonts w:hint="eastAsia" w:ascii="宋体" w:hAnsi="宋体" w:eastAsia="宋体" w:cs="宋体"/>
                <w:i w:val="0"/>
                <w:iCs w:val="0"/>
                <w:color w:val="auto"/>
                <w:sz w:val="21"/>
                <w:szCs w:val="21"/>
                <w:u w:val="none"/>
              </w:rPr>
              <w:t xml:space="preserve">AI-劳技教室2</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一层</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"'AJ-劳技教室3 '!A1" </w:instrText>
            </w:r>
            <w:r>
              <w:rPr>
                <w:rFonts w:hint="eastAsia" w:ascii="宋体" w:hAnsi="宋体" w:eastAsia="宋体" w:cs="宋体"/>
                <w:i w:val="0"/>
                <w:iCs w:val="0"/>
                <w:color w:val="auto"/>
                <w:sz w:val="21"/>
                <w:szCs w:val="21"/>
                <w:u w:val="none"/>
                <w:lang w:val="en-US" w:eastAsia="zh-CN" w:bidi="ar"/>
              </w:rPr>
              <w:fldChar w:fldCharType="separate"/>
            </w:r>
            <w:r>
              <w:rPr>
                <w:rStyle w:val="751"/>
                <w:rFonts w:hint="eastAsia" w:ascii="宋体" w:hAnsi="宋体" w:eastAsia="宋体" w:cs="宋体"/>
                <w:i w:val="0"/>
                <w:iCs w:val="0"/>
                <w:color w:val="auto"/>
                <w:sz w:val="21"/>
                <w:szCs w:val="21"/>
                <w:u w:val="none"/>
              </w:rPr>
              <w:t xml:space="preserve">AJ-劳技教室3</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一层</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"'AK-劳技教室4（创客教室）'!A1" </w:instrText>
            </w:r>
            <w:r>
              <w:rPr>
                <w:rFonts w:hint="eastAsia" w:ascii="宋体" w:hAnsi="宋体" w:eastAsia="宋体" w:cs="宋体"/>
                <w:i w:val="0"/>
                <w:iCs w:val="0"/>
                <w:color w:val="auto"/>
                <w:sz w:val="21"/>
                <w:szCs w:val="21"/>
                <w:u w:val="none"/>
                <w:lang w:val="en-US" w:eastAsia="zh-CN" w:bidi="ar"/>
              </w:rPr>
              <w:fldChar w:fldCharType="separate"/>
            </w:r>
            <w:r>
              <w:rPr>
                <w:rStyle w:val="751"/>
                <w:rFonts w:hint="eastAsia" w:ascii="宋体" w:hAnsi="宋体" w:eastAsia="宋体" w:cs="宋体"/>
                <w:i w:val="0"/>
                <w:iCs w:val="0"/>
                <w:color w:val="auto"/>
                <w:sz w:val="21"/>
                <w:szCs w:val="21"/>
                <w:u w:val="none"/>
              </w:rPr>
              <w:t xml:space="preserve">AK-劳技教室4（创客教室）</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一层</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"'AL-舞蹈教室'!A1" </w:instrText>
            </w:r>
            <w:r>
              <w:rPr>
                <w:rFonts w:hint="eastAsia" w:ascii="宋体" w:hAnsi="宋体" w:eastAsia="宋体" w:cs="宋体"/>
                <w:i w:val="0"/>
                <w:iCs w:val="0"/>
                <w:color w:val="auto"/>
                <w:sz w:val="21"/>
                <w:szCs w:val="21"/>
                <w:u w:val="none"/>
                <w:lang w:val="en-US" w:eastAsia="zh-CN" w:bidi="ar"/>
              </w:rPr>
              <w:fldChar w:fldCharType="separate"/>
            </w:r>
            <w:r>
              <w:rPr>
                <w:rStyle w:val="751"/>
                <w:rFonts w:hint="eastAsia" w:ascii="宋体" w:hAnsi="宋体" w:eastAsia="宋体" w:cs="宋体"/>
                <w:i w:val="0"/>
                <w:iCs w:val="0"/>
                <w:color w:val="auto"/>
                <w:sz w:val="21"/>
                <w:szCs w:val="21"/>
                <w:u w:val="none"/>
              </w:rPr>
              <w:t xml:space="preserve">AL-舞蹈教室</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一层</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"'AM-音乐合唱教室1'!A1" </w:instrText>
            </w:r>
            <w:r>
              <w:rPr>
                <w:rFonts w:hint="eastAsia" w:ascii="宋体" w:hAnsi="宋体" w:eastAsia="宋体" w:cs="宋体"/>
                <w:i w:val="0"/>
                <w:iCs w:val="0"/>
                <w:color w:val="auto"/>
                <w:sz w:val="21"/>
                <w:szCs w:val="21"/>
                <w:u w:val="none"/>
                <w:lang w:val="en-US" w:eastAsia="zh-CN" w:bidi="ar"/>
              </w:rPr>
              <w:fldChar w:fldCharType="separate"/>
            </w:r>
            <w:r>
              <w:rPr>
                <w:rStyle w:val="751"/>
                <w:rFonts w:hint="eastAsia" w:ascii="宋体" w:hAnsi="宋体" w:eastAsia="宋体" w:cs="宋体"/>
                <w:i w:val="0"/>
                <w:iCs w:val="0"/>
                <w:color w:val="auto"/>
                <w:sz w:val="21"/>
                <w:szCs w:val="21"/>
                <w:u w:val="none"/>
              </w:rPr>
              <w:t xml:space="preserve">AM-音乐合唱教室1</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二层</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"'AN-音乐教室2'!A1" </w:instrText>
            </w:r>
            <w:r>
              <w:rPr>
                <w:rFonts w:hint="eastAsia" w:ascii="宋体" w:hAnsi="宋体" w:eastAsia="宋体" w:cs="宋体"/>
                <w:i w:val="0"/>
                <w:iCs w:val="0"/>
                <w:color w:val="auto"/>
                <w:sz w:val="21"/>
                <w:szCs w:val="21"/>
                <w:u w:val="none"/>
                <w:lang w:val="en-US" w:eastAsia="zh-CN" w:bidi="ar"/>
              </w:rPr>
              <w:fldChar w:fldCharType="separate"/>
            </w:r>
            <w:r>
              <w:rPr>
                <w:rStyle w:val="751"/>
                <w:rFonts w:hint="eastAsia" w:ascii="宋体" w:hAnsi="宋体" w:eastAsia="宋体" w:cs="宋体"/>
                <w:i w:val="0"/>
                <w:iCs w:val="0"/>
                <w:color w:val="auto"/>
                <w:sz w:val="21"/>
                <w:szCs w:val="21"/>
                <w:u w:val="none"/>
              </w:rPr>
              <w:t xml:space="preserve">AN-音乐教室2</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二层</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"'AO-心理咨询室'!A1" </w:instrText>
            </w:r>
            <w:r>
              <w:rPr>
                <w:rFonts w:hint="eastAsia" w:ascii="宋体" w:hAnsi="宋体" w:eastAsia="宋体" w:cs="宋体"/>
                <w:i w:val="0"/>
                <w:iCs w:val="0"/>
                <w:color w:val="auto"/>
                <w:sz w:val="21"/>
                <w:szCs w:val="21"/>
                <w:u w:val="none"/>
                <w:lang w:val="en-US" w:eastAsia="zh-CN" w:bidi="ar"/>
              </w:rPr>
              <w:fldChar w:fldCharType="separate"/>
            </w:r>
            <w:r>
              <w:rPr>
                <w:rStyle w:val="751"/>
                <w:rFonts w:hint="eastAsia" w:ascii="宋体" w:hAnsi="宋体" w:eastAsia="宋体" w:cs="宋体"/>
                <w:i w:val="0"/>
                <w:iCs w:val="0"/>
                <w:color w:val="auto"/>
                <w:sz w:val="21"/>
                <w:szCs w:val="21"/>
                <w:u w:val="none"/>
              </w:rPr>
              <w:t xml:space="preserve">AO-心理咨询室</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二层</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"'AP-智慧书法教室'!A1" </w:instrText>
            </w:r>
            <w:r>
              <w:rPr>
                <w:rFonts w:hint="eastAsia" w:ascii="宋体" w:hAnsi="宋体" w:eastAsia="宋体" w:cs="宋体"/>
                <w:i w:val="0"/>
                <w:iCs w:val="0"/>
                <w:color w:val="auto"/>
                <w:sz w:val="21"/>
                <w:szCs w:val="21"/>
                <w:u w:val="none"/>
                <w:lang w:val="en-US" w:eastAsia="zh-CN" w:bidi="ar"/>
              </w:rPr>
              <w:fldChar w:fldCharType="separate"/>
            </w:r>
            <w:r>
              <w:rPr>
                <w:rStyle w:val="751"/>
                <w:rFonts w:hint="eastAsia" w:ascii="宋体" w:hAnsi="宋体" w:eastAsia="宋体" w:cs="宋体"/>
                <w:i w:val="0"/>
                <w:iCs w:val="0"/>
                <w:color w:val="auto"/>
                <w:sz w:val="21"/>
                <w:szCs w:val="21"/>
                <w:u w:val="none"/>
              </w:rPr>
              <w:t xml:space="preserve">AP-智慧书法教室</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三层</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"'AQ-传统书法教室'!A1" </w:instrText>
            </w:r>
            <w:r>
              <w:rPr>
                <w:rFonts w:hint="eastAsia" w:ascii="宋体" w:hAnsi="宋体" w:eastAsia="宋体" w:cs="宋体"/>
                <w:i w:val="0"/>
                <w:iCs w:val="0"/>
                <w:color w:val="auto"/>
                <w:sz w:val="21"/>
                <w:szCs w:val="21"/>
                <w:u w:val="none"/>
                <w:lang w:val="en-US" w:eastAsia="zh-CN" w:bidi="ar"/>
              </w:rPr>
              <w:fldChar w:fldCharType="separate"/>
            </w:r>
            <w:r>
              <w:rPr>
                <w:rStyle w:val="751"/>
                <w:rFonts w:hint="eastAsia" w:ascii="宋体" w:hAnsi="宋体" w:eastAsia="宋体" w:cs="宋体"/>
                <w:i w:val="0"/>
                <w:iCs w:val="0"/>
                <w:color w:val="auto"/>
                <w:sz w:val="21"/>
                <w:szCs w:val="21"/>
                <w:u w:val="none"/>
              </w:rPr>
              <w:t xml:space="preserve">AQ-传统书法教室</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三层</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"'AR-美术教室1'!A1" </w:instrText>
            </w:r>
            <w:r>
              <w:rPr>
                <w:rFonts w:hint="eastAsia" w:ascii="宋体" w:hAnsi="宋体" w:eastAsia="宋体" w:cs="宋体"/>
                <w:i w:val="0"/>
                <w:iCs w:val="0"/>
                <w:color w:val="auto"/>
                <w:sz w:val="21"/>
                <w:szCs w:val="21"/>
                <w:u w:val="none"/>
                <w:lang w:val="en-US" w:eastAsia="zh-CN" w:bidi="ar"/>
              </w:rPr>
              <w:fldChar w:fldCharType="separate"/>
            </w:r>
            <w:r>
              <w:rPr>
                <w:rStyle w:val="751"/>
                <w:rFonts w:hint="eastAsia" w:ascii="宋体" w:hAnsi="宋体" w:eastAsia="宋体" w:cs="宋体"/>
                <w:i w:val="0"/>
                <w:iCs w:val="0"/>
                <w:color w:val="auto"/>
                <w:sz w:val="21"/>
                <w:szCs w:val="21"/>
                <w:u w:val="none"/>
              </w:rPr>
              <w:t xml:space="preserve">AR-美术教室1</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三层</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"'AS-美术教室2'!A1" </w:instrText>
            </w:r>
            <w:r>
              <w:rPr>
                <w:rFonts w:hint="eastAsia" w:ascii="宋体" w:hAnsi="宋体" w:eastAsia="宋体" w:cs="宋体"/>
                <w:i w:val="0"/>
                <w:iCs w:val="0"/>
                <w:color w:val="auto"/>
                <w:sz w:val="21"/>
                <w:szCs w:val="21"/>
                <w:u w:val="none"/>
                <w:lang w:val="en-US" w:eastAsia="zh-CN" w:bidi="ar"/>
              </w:rPr>
              <w:fldChar w:fldCharType="separate"/>
            </w:r>
            <w:r>
              <w:rPr>
                <w:rStyle w:val="751"/>
                <w:rFonts w:hint="eastAsia" w:ascii="宋体" w:hAnsi="宋体" w:eastAsia="宋体" w:cs="宋体"/>
                <w:i w:val="0"/>
                <w:iCs w:val="0"/>
                <w:color w:val="auto"/>
                <w:sz w:val="21"/>
                <w:szCs w:val="21"/>
                <w:u w:val="none"/>
              </w:rPr>
              <w:t xml:space="preserve">AS-美术教室2</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三层</w:t>
            </w:r>
            <w:r/>
          </w:p>
        </w:tc>
      </w:tr>
      <w:tr>
        <w:trPr>
          <w:trHeight w:val="565"/>
        </w:trPr>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 HYPERLINK "" \l "'AT-美术教室3'!A1" </w:instrText>
            </w:r>
            <w:r>
              <w:rPr>
                <w:rFonts w:hint="eastAsia" w:ascii="宋体" w:hAnsi="宋体" w:eastAsia="宋体" w:cs="宋体"/>
                <w:i w:val="0"/>
                <w:iCs w:val="0"/>
                <w:color w:val="auto"/>
                <w:sz w:val="21"/>
                <w:szCs w:val="21"/>
                <w:u w:val="none"/>
                <w:lang w:val="en-US" w:eastAsia="zh-CN" w:bidi="ar"/>
              </w:rPr>
              <w:fldChar w:fldCharType="separate"/>
            </w:r>
            <w:r>
              <w:rPr>
                <w:rStyle w:val="751"/>
                <w:rFonts w:hint="eastAsia" w:ascii="宋体" w:hAnsi="宋体" w:eastAsia="宋体" w:cs="宋体"/>
                <w:i w:val="0"/>
                <w:iCs w:val="0"/>
                <w:color w:val="auto"/>
                <w:sz w:val="21"/>
                <w:szCs w:val="21"/>
                <w:u w:val="none"/>
              </w:rPr>
              <w:t xml:space="preserve">AT-美术教室3</w:t>
            </w:r>
            <w:r>
              <w:rPr>
                <w:rFonts w:hint="eastAsia" w:ascii="宋体" w:hAnsi="宋体" w:eastAsia="宋体" w:cs="宋体"/>
                <w:i w:val="0"/>
                <w:iCs w:val="0"/>
                <w:color w:val="auto"/>
                <w:sz w:val="21"/>
                <w:szCs w:val="21"/>
                <w:u w:val="none"/>
                <w:lang w:val="en-US" w:eastAsia="zh-CN" w:bidi="ar"/>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三层</w:t>
            </w:r>
            <w:r/>
          </w:p>
        </w:tc>
      </w:tr>
    </w:tbl>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br w:type="page" w:clear="all"/>
      </w:r>
      <w:r/>
    </w:p>
    <w:tbl>
      <w:tblPr>
        <w:tblStyle w:val="727"/>
        <w:tblW w:w="5190" w:type="pct"/>
        <w:tblInd w:w="8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4"/>
        <w:gridCol w:w="1322"/>
        <w:gridCol w:w="6655"/>
        <w:gridCol w:w="671"/>
        <w:gridCol w:w="709"/>
      </w:tblGrid>
      <w:tr>
        <w:trPr>
          <w:trHeight w:val="567"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AA-生物标本室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AA1-01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单面标本柜</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#1.铝木结构规格：约1000*500*2000mm；下柜采用全木结构，</w:t>
            </w:r>
            <w:r>
              <w:rPr>
                <w:rFonts w:hint="eastAsia" w:ascii="宋体" w:hAnsi="宋体" w:cs="宋体"/>
                <w:i w:val="0"/>
                <w:iCs w:val="0"/>
                <w:color w:val="auto"/>
                <w:sz w:val="21"/>
                <w:szCs w:val="21"/>
                <w:u w:val="none"/>
                <w:lang w:val="en-US" w:eastAsia="zh-CN" w:bidi="ar"/>
              </w:rPr>
              <w:t xml:space="preserve">主</w:t>
            </w:r>
            <w:r>
              <w:rPr>
                <w:rFonts w:hint="eastAsia" w:ascii="宋体" w:hAnsi="宋体" w:eastAsia="宋体" w:cs="宋体"/>
                <w:i w:val="0"/>
                <w:iCs w:val="0"/>
                <w:color w:val="auto"/>
                <w:sz w:val="21"/>
                <w:szCs w:val="21"/>
                <w:u w:val="none"/>
                <w:lang w:val="en-US" w:eastAsia="zh-CN" w:bidi="ar"/>
              </w:rPr>
              <w:t xml:space="preserve">体基材采用≥</w:t>
            </w:r>
            <w:r>
              <w:rPr>
                <w:rFonts w:hint="eastAsia" w:ascii="宋体" w:hAnsi="宋体" w:cs="宋体"/>
                <w:i w:val="0"/>
                <w:iCs w:val="0"/>
                <w:strike w:val="0"/>
                <w:color w:val="auto"/>
                <w:sz w:val="21"/>
                <w:szCs w:val="21"/>
                <w:u w:val="none"/>
                <w:lang w:val="en-US" w:eastAsia="zh-CN" w:bidi="ar"/>
              </w:rPr>
              <w:t xml:space="preserve">15</w:t>
            </w:r>
            <w:r>
              <w:rPr>
                <w:rFonts w:hint="eastAsia" w:ascii="宋体" w:hAnsi="宋体" w:eastAsia="宋体" w:cs="宋体"/>
                <w:i w:val="0"/>
                <w:iCs w:val="0"/>
                <w:color w:val="auto"/>
                <w:sz w:val="21"/>
                <w:szCs w:val="21"/>
                <w:u w:val="none"/>
                <w:lang w:val="en-US" w:eastAsia="zh-CN" w:bidi="ar"/>
              </w:rPr>
              <w:t xml:space="preserve">㎜厚E1级三聚氰胺板；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#2.上部高1400mm，四面为5mm厚透明白玻镶嵌，双面为金属包边白玻推拉门设计，内部两层5mm厚玻璃活动隔层；下部橱柜高为600mm，板式对开门，不锈钢弓型拉手；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#3.连接件：ABS专用连接组装件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#4.脚垫：采用特制模具优质注塑脚垫，高度为2.5cm，高度可调，可有效防潮；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铝合金型材符合GB/T10125-2021《人造气氛腐蚀试验盐雾试验》和GB/T6461-2002《金属基体上金属和其他无机覆盖层经腐蚀试验后的试样和试件的评级》标准，检测结果达到10级。符合GB/T1865-2009《色漆和清漆人工气候老化和人工辐射曝露滤过的氙弧辐射》和GB/T6461-2002《金属基体上金属和其他无机覆盖层经腐蚀试验后的试样和试件的评级》标准，检测结果达到10级。</w:t>
            </w:r>
            <w:r>
              <w:rPr>
                <w:rFonts w:hint="eastAsia" w:ascii="宋体" w:hAnsi="宋体" w:eastAsia="宋体" w:cs="宋体"/>
                <w:b/>
                <w:bCs/>
                <w:i w:val="0"/>
                <w:iCs w:val="0"/>
                <w:color w:val="auto"/>
                <w:sz w:val="21"/>
                <w:szCs w:val="21"/>
                <w:u w:val="none"/>
                <w:lang w:val="en-US" w:eastAsia="zh-CN" w:bidi="ar"/>
              </w:rPr>
              <w:t xml:space="preserve">（提供具有CMA认证标识的第三方检测机构出具的检测报告原件扫描件）</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3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“泗洪湿地”和“洪泽湖”生物标本展</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AA2-01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丹顶鹤</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AA2-02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白腰勺鹬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AA2-03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白鹳</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AA2-04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东方白鹳</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AA2-05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鹊鸭</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AA2-06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普通燕鸥</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AA2-07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白腰杓鹬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AA2-08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白枕鹤</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AA2-09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黑尾塍鹬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黑喉潜鸟</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凤头䴙䴘</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卷羽鹈鹕</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栗苇鳽</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黄斑苇鳽</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紫背苇鳽</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黑头白鹮</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凤头潜鸭</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斑头秋沙鸭</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普通鵟（狂）</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AA2-20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大鵟（狂）</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AA2-21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蓑羽鹤</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AA2-22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蒙古沙鸻</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AA2-23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铁嘴沙鸻</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AA2-24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白额燕鸥</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AA2-25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草鸮</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AA2-26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领角鸮</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AA2-27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长尾夜鹰</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AA2-28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大嘴乌鸦</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AA2-29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雪雁</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AA2-30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白琵鹭</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AA2-31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小天鹅</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AA2-32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大天鹅</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AA2-33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白眼潜鸭</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AA2-34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青脚鹬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AA2-35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斑嘴鸭</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AA2-36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针尾鸭</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AA2-37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斑背潜鸭</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AA2-38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绿头鸭♂</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AA2-39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绿头鸭♀</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AA2-40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绿翅鸭♂</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AA2-41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绿翅鸭♀</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AA2-42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翘鼻麻鸭</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AA2-43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赤麻鸭</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AA2-44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赤颈鸭</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AA2-45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黑水鸡</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1.仿真标本。内部聚乙烯树脂雕刻模型，外部动物真羽毛加工制作。含亚克力L型展示牌，安装摆放展示牌需显示具体产品名称、学名及相关产品科普简介。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AA2-46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鱼类—翘嘴鲌</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动物1比1聚氨酯还原制作。呈现自然形态。含亚克力L型展示牌，安装摆放展示牌需显示具体产品名称、学名及相关产品科普简介。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AA2-47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鱼类—红尾鲌</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动物1比1聚氨酯还原制作。呈现自然形态。含亚克力L型展示牌，安装摆放展示牌需显示具体产品名称、学名及相关产品科普简介。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AA2-48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鱼类—黄尾鲴</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动物1比1聚氨酯还原制作。呈现自然形态。含亚克力L型展示牌，安装摆放展示牌需显示具体产品名称、学名及相关产品科普简介。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AA2-49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鱼类—鲢鱼</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动物1比1聚氨酯还原制作。呈现自然形态。含亚克力L型展示牌，安装摆放展示牌需显示具体产品名称、学名及相关产品科普简介。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AA2-50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鱼类—鳙鱼</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动物1比1聚氨酯还原制作。呈现自然形态。含亚克力L型展示牌，安装摆放展示牌需显示具体产品名称、学名及相关产品科普简介。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AA2-51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鱼类—鲤鱼</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动物1比1聚氨酯还原制作。呈现自然形态。含亚克力L型展示牌，安装摆放展示牌需显示具体产品名称、学名及相关产品科普简介。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AA2-52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鱼类—鲫鱼</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动物1比1聚氨酯还原制作。呈现自然形态。含亚克力L型展示牌，安装摆放展示牌需显示具体产品名称、学名及相关产品科普简介。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AA2-53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鱼类—鮰鱼</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动物1比1聚氨酯还原制作。呈现自然形态。含亚克力L型展示牌，安装摆放展示牌需显示具体产品名称、学名及相关产品科普简介。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AA2-54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鱼类—鳜鱼</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动物1比1聚氨酯还原制作。呈现自然形态。含亚克力L型展示牌，安装摆放展示牌需显示具体产品名称、学名及相关产品科普简介。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AA2-55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鱼类—乌鳢</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动物1比1聚氨酯还原制作。呈现自然形态。含亚克力L型展示牌，安装摆放展示牌需显示具体产品名称、学名及相关产品科普简介。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415"/>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AA2-56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鱼类—塘鲺</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动物1比1聚氨酯还原制作。呈现自然形态。含亚克力L型展示牌，安装摆放展示牌需显示具体产品名称、学名及相关产品科普简介。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AA2-57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鱼类—黄颡鱼</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动物1比1聚氨酯还原制作。呈现自然形态。含亚克力L型展示牌，安装摆放展示牌需显示具体产品名称、学名及相关产品科普简介。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AA2-58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鱼类—青鱼</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动物1比1聚氨酯还原制作。呈现自然形态。含亚克力L型展示牌，安装摆放展示牌需显示具体产品名称、学名及相关产品科普简介。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AA2-59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鱼类—草鱼</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动物1比1聚氨酯还原制作。呈现自然形态。含亚克力L型展示牌，安装摆放展示牌需显示具体产品名称、学名及相关产品科普简介。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AA2-60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鱼类—赤眼鳟</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动物1比1聚氨酯还原制作。呈现自然形态。含亚克力L型展示牌，安装摆放展示牌需显示具体产品名称、学名及相关产品科普简介。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AA2-61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鱼类—鳊鱼</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动物1比1聚氨酯还原制作。呈现自然形态。含亚克力L型展示牌，安装摆放展示牌需显示具体产品名称、学名及相关产品科普简介。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AA2-62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鱼类—沙塘鳢</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动物1比1聚氨酯还原制作。呈现自然形态。含亚克力L型展示牌，安装摆放展示牌需显示具体产品名称、学名及相关产品科普简介。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AA2-63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鱼类—黄鳝</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动物1比1聚氨酯还原制作。呈现自然形态。含亚克力L型展示牌，安装摆放展示牌需显示具体产品名称、学名及相关产品科普简介。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AA2-64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鱼类—泥鳅</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动物1比1聚氨酯还原制作。呈现自然形态。含亚克力L型展示牌，安装摆放展示牌需显示具体产品名称、学名及相关产品科普简介。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AA2-65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鱼类—中华绒螯蟹</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动物1比1聚氨酯还原制作。呈现自然形态。含亚克力L型展示牌，安装摆放展示牌需显示具体产品名称、学名及相关产品科普简介。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AA2-66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獐</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成体，自然大，高仿真标本，动物真毛皮贴毛仿制制成。含亚克力L型展示牌，安装摆放展示牌需显示具体产品名称、学名及相关产品科普简介。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AA2-67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河麂</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成体，自然大，高仿真标本，动物真毛皮贴毛仿制制成。含亚克力L型展示牌，安装摆放展示牌需显示具体产品名称、学名及相关产品科普简介。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AA2-68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黄鼬</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成体，自然大，高仿真标本，动物真毛皮贴毛仿制制成。含亚克力L型展示牌，安装摆放展示牌需显示具体产品名称、学名及相关产品科普简介。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AA2-69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刺猬</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成体，自然大，高仿真标本，动物真毛皮贴毛仿制制成。含亚克力L型展示牌，安装摆放展示牌需显示具体产品名称、学名及相关产品科普简介。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AA2-70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松鼠</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成体，自然大，高仿真标本，动物真毛皮贴毛仿制制成。含亚克力L型展示牌，安装摆放展示牌需显示具体产品名称、学名及相关产品科普简介。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AA2-71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猪獾</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成体，自然大，高仿真标本，动物真毛皮贴毛仿制制成。含亚克力L型展示牌，安装摆放展示牌需显示具体产品名称、学名及相关产品科普简介。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AA2-72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麝鼠</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成体，自然大，高仿真标本，动物真毛皮贴毛仿制制成。含亚克力L型展示牌，安装摆放展示牌需显示具体产品名称、学名及相关产品科普简介。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AA2-73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滑鼠蛇</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动物1比1聚氨酯还原制作。呈现自然形态。含亚克力L型展示牌，安装摆放展示牌需显示具体产品名称、学名及相关产品科普简介。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AA2-74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赤链蛇</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动物1比1聚氨酯还原制作。呈现自然形态。含亚克力L型展示牌，安装摆放展示牌需显示具体产品名称、学名及相关产品科普简介。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AA2-75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水蛇</w:t>
            </w:r>
            <w:r/>
          </w:p>
        </w:tc>
        <w:tc>
          <w:tcPr>
            <w:shd w:val="clear" w:color="auto" w:fill="auto"/>
            <w:tcBorders>
              <w:top w:val="single" w:color="000000" w:sz="4" w:space="0"/>
              <w:left w:val="single" w:color="000000" w:sz="4" w:space="0"/>
              <w:bottom w:val="single" w:color="000000" w:sz="4" w:space="0"/>
              <w:right w:val="single" w:color="000000" w:sz="4" w:space="0"/>
            </w:tcBorders>
            <w:tcW w:w="665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动物1比1聚氨酯还原制作。呈现自然形态。含亚克力L型展示牌，安装摆放展示牌需显示具体产品名称、学名及相关产品科普简介。</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3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标本走廊墙展示</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AA3-01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蝴蝶标本100种</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#1.≥100种不同蝴蝶。</w:t>
            </w:r>
            <w:r>
              <w:rPr>
                <w:rFonts w:hint="eastAsia" w:ascii="宋体" w:hAnsi="宋体" w:eastAsia="宋体" w:cs="宋体"/>
                <w:i w:val="0"/>
                <w:iCs w:val="0"/>
                <w:strike w:val="0"/>
                <w:color w:val="auto"/>
                <w:sz w:val="21"/>
                <w:szCs w:val="21"/>
                <w:u w:val="none"/>
                <w:lang w:val="en-US" w:eastAsia="zh-CN" w:bidi="ar"/>
              </w:rPr>
              <w:t xml:space="preserve">标本盒尺寸不小于24*25*3cm，</w:t>
            </w:r>
            <w:r>
              <w:rPr>
                <w:rFonts w:hint="eastAsia" w:ascii="宋体" w:hAnsi="宋体" w:eastAsia="宋体" w:cs="宋体"/>
                <w:i w:val="0"/>
                <w:iCs w:val="0"/>
                <w:strike w:val="0"/>
                <w:color w:val="auto"/>
                <w:sz w:val="21"/>
                <w:szCs w:val="21"/>
                <w:u w:val="none"/>
                <w:lang w:val="en-US" w:eastAsia="zh-CN" w:bidi="ar"/>
              </w:rPr>
              <w:t xml:space="preserve">每盒4</w:t>
            </w:r>
            <w:r>
              <w:rPr>
                <w:rFonts w:hint="eastAsia" w:ascii="宋体" w:hAnsi="宋体" w:eastAsia="宋体" w:cs="宋体"/>
                <w:i w:val="0"/>
                <w:iCs w:val="0"/>
                <w:color w:val="auto"/>
                <w:sz w:val="21"/>
                <w:szCs w:val="21"/>
                <w:u w:val="none"/>
                <w:lang w:val="en-US" w:eastAsia="zh-CN" w:bidi="ar"/>
              </w:rPr>
              <w:t xml:space="preserve">只，25盒，蝴蝶完全展翅。每只蝴蝶需带有中文名、学名、分布区域等详细文字介绍。标本盒为木盒，浮法玻璃面，标本盒背板采用E1级环保背板制作。标本盒背板佩带v型挂钩，可直接悬挂挂墙。标本盒背板佩带可直接支撑摆放的支架。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AA3-02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蛾类标本100种</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#1.蛾类完全展翅。一盒4只-5只，一共20盒</w:t>
            </w:r>
            <w:r>
              <w:rPr>
                <w:rFonts w:hint="eastAsia" w:ascii="宋体" w:hAnsi="宋体" w:eastAsia="宋体" w:cs="宋体"/>
                <w:i w:val="0"/>
                <w:iCs w:val="0"/>
                <w:strike w:val="0"/>
                <w:color w:val="auto"/>
                <w:sz w:val="21"/>
                <w:szCs w:val="21"/>
                <w:u w:val="none"/>
                <w:lang w:val="en-US" w:eastAsia="zh-CN" w:bidi="ar"/>
              </w:rPr>
              <w:t xml:space="preserve">。尺寸≥30*25*4cm。生产厂家品牌需经商标注册，并持有品牌商标注册证书。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AA3-03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昆虫100种</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#1.不少于100种昆虫制作，</w:t>
            </w:r>
            <w:r>
              <w:rPr>
                <w:rFonts w:hint="eastAsia" w:ascii="宋体" w:hAnsi="宋体" w:eastAsia="宋体" w:cs="宋体"/>
                <w:i w:val="0"/>
                <w:iCs w:val="0"/>
                <w:strike w:val="0"/>
                <w:color w:val="auto"/>
                <w:sz w:val="21"/>
                <w:szCs w:val="21"/>
                <w:u w:val="none"/>
                <w:lang w:val="en-US" w:eastAsia="zh-CN" w:bidi="ar"/>
              </w:rPr>
              <w:t xml:space="preserve">尺寸≥24*25*3cm</w:t>
            </w:r>
            <w:r>
              <w:rPr>
                <w:rFonts w:hint="eastAsia" w:ascii="宋体" w:hAnsi="宋体" w:eastAsia="宋体" w:cs="宋体"/>
                <w:i w:val="0"/>
                <w:iCs w:val="0"/>
                <w:strike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每盒10只，共10盒。标本盒为木盒，浮法玻璃面，标本盒背板采用E1级环保背板制作。标本盒背板佩带v型挂钩，可直接悬挂挂墙。标本盒背板佩带可直接支撑摆放的支架。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AA3-04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植物覆膜标本50种（含框）</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木框包装，可直接挂墙展示。包含圆叶牵牛，锦绣杜鹃，水蜜桃，月季花，白兰花，金丝桃，圆盖阴石蕨，侧柏，小麦，荠，萝卜等50种植物。A4尺寸。内置物由新鲜植物压制吸水，经严格消毒、无虫蛀、无霉变，真空过塑包装，永久保存。采用白色卡纸塑封，立体感强。标本右下角需明显体现植物的门、目、属、纲、木、科，及该植物的拉丁文学名名称等相关信息。</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AA3-05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草本植物15种（含框）</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#1.木框包装，可直接挂墙展示。复膜需明显体现植物的门、目、属、纲、木、科，及该植物的拉丁文学名名称。生产厂家品牌需经商标注册，并持有品牌商标注册证书。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AA3-06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木本植物15种（含框）</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#1.木框包装，可直接挂墙展示。复膜需明显体现植物的门、目、属、纲、木、科，及该植物的拉丁文学名名称。生产厂家品牌需经商标注册，并持有品牌商标注册证书。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AA3-07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有趣的金龟子—墨绿彩丽金龟</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eastAsia="宋体" w:cs="宋体"/>
                <w:i w:val="0"/>
                <w:iCs w:val="0"/>
                <w:strike w:val="0"/>
                <w:color w:val="auto"/>
                <w:sz w:val="21"/>
                <w:szCs w:val="21"/>
                <w:u w:val="none"/>
                <w:lang w:val="en-US" w:eastAsia="zh-CN" w:bidi="ar"/>
              </w:rPr>
              <w:t xml:space="preserve">标本盒采用尺寸≥28*18*3cm的</w:t>
            </w:r>
            <w:r>
              <w:rPr>
                <w:rFonts w:hint="eastAsia" w:ascii="宋体" w:hAnsi="宋体" w:eastAsia="宋体" w:cs="宋体"/>
                <w:i w:val="0"/>
                <w:iCs w:val="0"/>
                <w:color w:val="auto"/>
                <w:sz w:val="21"/>
                <w:szCs w:val="21"/>
                <w:u w:val="none"/>
                <w:lang w:val="en-US" w:eastAsia="zh-CN" w:bidi="ar"/>
              </w:rPr>
              <w:t xml:space="preserve">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AA3-08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有趣的金龟子—褐色宝石金龟</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w:t>
            </w:r>
            <w:r>
              <w:rPr>
                <w:rFonts w:hint="eastAsia" w:ascii="宋体" w:hAnsi="宋体" w:eastAsia="宋体" w:cs="宋体"/>
                <w:i w:val="0"/>
                <w:iCs w:val="0"/>
                <w:strike w:val="0"/>
                <w:color w:val="auto"/>
                <w:sz w:val="21"/>
                <w:szCs w:val="21"/>
                <w:u w:val="none"/>
                <w:lang w:val="en-US" w:eastAsia="zh-CN" w:bidi="ar"/>
              </w:rPr>
              <w:t xml:space="preserve">尺寸≥28*18*3cm的</w:t>
            </w:r>
            <w:r>
              <w:rPr>
                <w:rFonts w:hint="eastAsia" w:ascii="宋体" w:hAnsi="宋体" w:eastAsia="宋体" w:cs="宋体"/>
                <w:i w:val="0"/>
                <w:iCs w:val="0"/>
                <w:color w:val="auto"/>
                <w:sz w:val="21"/>
                <w:szCs w:val="21"/>
                <w:u w:val="none"/>
                <w:lang w:val="en-US" w:eastAsia="zh-CN" w:bidi="ar"/>
              </w:rPr>
              <w:t xml:space="preserve">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AA3-09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有趣的金龟子—暗蓝异花金龟</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w:t>
            </w:r>
            <w:r>
              <w:rPr>
                <w:rFonts w:hint="eastAsia" w:ascii="宋体" w:hAnsi="宋体" w:eastAsia="宋体" w:cs="宋体"/>
                <w:i w:val="0"/>
                <w:iCs w:val="0"/>
                <w:strike w:val="0"/>
                <w:color w:val="auto"/>
                <w:sz w:val="21"/>
                <w:szCs w:val="21"/>
                <w:u w:val="none"/>
                <w:lang w:val="en-US" w:eastAsia="zh-CN" w:bidi="ar"/>
              </w:rPr>
              <w:t xml:space="preserve">尺寸≥28*18*3cm的</w:t>
            </w:r>
            <w:r>
              <w:rPr>
                <w:rFonts w:hint="eastAsia" w:ascii="宋体" w:hAnsi="宋体" w:eastAsia="宋体" w:cs="宋体"/>
                <w:i w:val="0"/>
                <w:iCs w:val="0"/>
                <w:color w:val="auto"/>
                <w:sz w:val="21"/>
                <w:szCs w:val="21"/>
                <w:u w:val="none"/>
                <w:lang w:val="en-US" w:eastAsia="zh-CN" w:bidi="ar"/>
              </w:rPr>
              <w:t xml:space="preserve">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有趣的金龟子—宽带鹿角花金龟</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w:t>
            </w:r>
            <w:r>
              <w:rPr>
                <w:rFonts w:hint="eastAsia" w:ascii="宋体" w:hAnsi="宋体" w:eastAsia="宋体" w:cs="宋体"/>
                <w:i w:val="0"/>
                <w:iCs w:val="0"/>
                <w:strike w:val="0"/>
                <w:color w:val="auto"/>
                <w:sz w:val="21"/>
                <w:szCs w:val="21"/>
                <w:u w:val="none"/>
                <w:lang w:val="en-US" w:eastAsia="zh-CN" w:bidi="ar"/>
              </w:rPr>
              <w:t xml:space="preserve">尺寸≥28*18*3cm的</w:t>
            </w:r>
            <w:r>
              <w:rPr>
                <w:rFonts w:hint="eastAsia" w:ascii="宋体" w:hAnsi="宋体" w:eastAsia="宋体" w:cs="宋体"/>
                <w:i w:val="0"/>
                <w:iCs w:val="0"/>
                <w:color w:val="auto"/>
                <w:sz w:val="21"/>
                <w:szCs w:val="21"/>
                <w:u w:val="none"/>
                <w:lang w:val="en-US" w:eastAsia="zh-CN" w:bidi="ar"/>
              </w:rPr>
              <w:t xml:space="preserve">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有趣的金龟子—日拟阔花金龟</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w:t>
            </w:r>
            <w:r>
              <w:rPr>
                <w:rFonts w:hint="eastAsia" w:ascii="宋体" w:hAnsi="宋体" w:eastAsia="宋体" w:cs="宋体"/>
                <w:i w:val="0"/>
                <w:iCs w:val="0"/>
                <w:strike w:val="0"/>
                <w:color w:val="auto"/>
                <w:sz w:val="21"/>
                <w:szCs w:val="21"/>
                <w:u w:val="none"/>
                <w:lang w:val="en-US" w:eastAsia="zh-CN" w:bidi="ar"/>
              </w:rPr>
              <w:t xml:space="preserve">尺寸≥28*18*3cm的</w:t>
            </w:r>
            <w:r>
              <w:rPr>
                <w:rFonts w:hint="eastAsia" w:ascii="宋体" w:hAnsi="宋体" w:eastAsia="宋体" w:cs="宋体"/>
                <w:i w:val="0"/>
                <w:iCs w:val="0"/>
                <w:color w:val="auto"/>
                <w:sz w:val="21"/>
                <w:szCs w:val="21"/>
                <w:u w:val="none"/>
                <w:lang w:val="en-US" w:eastAsia="zh-CN" w:bidi="ar"/>
              </w:rPr>
              <w:t xml:space="preserve">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有趣的金龟子—铜绿丽金龟</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w:t>
            </w:r>
            <w:r>
              <w:rPr>
                <w:rFonts w:hint="eastAsia" w:ascii="宋体" w:hAnsi="宋体" w:eastAsia="宋体" w:cs="宋体"/>
                <w:i w:val="0"/>
                <w:iCs w:val="0"/>
                <w:strike w:val="0"/>
                <w:color w:val="auto"/>
                <w:sz w:val="21"/>
                <w:szCs w:val="21"/>
                <w:u w:val="none"/>
                <w:lang w:val="en-US" w:eastAsia="zh-CN" w:bidi="ar"/>
              </w:rPr>
              <w:t xml:space="preserve">尺寸≥28*18*3cm的</w:t>
            </w:r>
            <w:r>
              <w:rPr>
                <w:rFonts w:hint="eastAsia" w:ascii="宋体" w:hAnsi="宋体" w:eastAsia="宋体" w:cs="宋体"/>
                <w:i w:val="0"/>
                <w:iCs w:val="0"/>
                <w:color w:val="auto"/>
                <w:sz w:val="21"/>
                <w:szCs w:val="21"/>
                <w:u w:val="none"/>
                <w:lang w:val="en-US" w:eastAsia="zh-CN" w:bidi="ar"/>
              </w:rPr>
              <w:t xml:space="preserve">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有趣的金龟子—白星花金龟</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w:t>
            </w:r>
            <w:r>
              <w:rPr>
                <w:rFonts w:hint="eastAsia" w:ascii="宋体" w:hAnsi="宋体" w:eastAsia="宋体" w:cs="宋体"/>
                <w:i w:val="0"/>
                <w:iCs w:val="0"/>
                <w:strike w:val="0"/>
                <w:color w:val="auto"/>
                <w:sz w:val="21"/>
                <w:szCs w:val="21"/>
                <w:u w:val="none"/>
                <w:lang w:val="en-US" w:eastAsia="zh-CN" w:bidi="ar"/>
              </w:rPr>
              <w:t xml:space="preserve">尺寸≥28*18*3cm的</w:t>
            </w:r>
            <w:r>
              <w:rPr>
                <w:rFonts w:hint="eastAsia" w:ascii="宋体" w:hAnsi="宋体" w:eastAsia="宋体" w:cs="宋体"/>
                <w:i w:val="0"/>
                <w:iCs w:val="0"/>
                <w:color w:val="auto"/>
                <w:sz w:val="21"/>
                <w:szCs w:val="21"/>
                <w:u w:val="none"/>
                <w:lang w:val="en-US" w:eastAsia="zh-CN" w:bidi="ar"/>
              </w:rPr>
              <w:t xml:space="preserve">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有趣的金龟子—中华彩丽金龟</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w:t>
            </w:r>
            <w:r>
              <w:rPr>
                <w:rFonts w:hint="eastAsia" w:ascii="宋体" w:hAnsi="宋体" w:eastAsia="宋体" w:cs="宋体"/>
                <w:i w:val="0"/>
                <w:iCs w:val="0"/>
                <w:strike w:val="0"/>
                <w:color w:val="auto"/>
                <w:sz w:val="21"/>
                <w:szCs w:val="21"/>
                <w:u w:val="none"/>
                <w:lang w:val="en-US" w:eastAsia="zh-CN" w:bidi="ar"/>
              </w:rPr>
              <w:t xml:space="preserve">尺寸≥28*18*3cm的</w:t>
            </w:r>
            <w:r>
              <w:rPr>
                <w:rFonts w:hint="eastAsia" w:ascii="宋体" w:hAnsi="宋体" w:eastAsia="宋体" w:cs="宋体"/>
                <w:i w:val="0"/>
                <w:iCs w:val="0"/>
                <w:color w:val="auto"/>
                <w:sz w:val="21"/>
                <w:szCs w:val="21"/>
                <w:u w:val="none"/>
                <w:lang w:val="en-US" w:eastAsia="zh-CN" w:bidi="ar"/>
              </w:rPr>
              <w:t xml:space="preserve">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有趣的金龟子—苹绿唇花金龟</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w:t>
            </w:r>
            <w:r>
              <w:rPr>
                <w:rFonts w:hint="eastAsia" w:ascii="宋体" w:hAnsi="宋体" w:eastAsia="宋体" w:cs="宋体"/>
                <w:i w:val="0"/>
                <w:iCs w:val="0"/>
                <w:strike w:val="0"/>
                <w:color w:val="auto"/>
                <w:sz w:val="21"/>
                <w:szCs w:val="21"/>
                <w:u w:val="none"/>
                <w:lang w:val="en-US" w:eastAsia="zh-CN" w:bidi="ar"/>
              </w:rPr>
              <w:t xml:space="preserve">尺寸≥28*18*3cm的</w:t>
            </w:r>
            <w:r>
              <w:rPr>
                <w:rFonts w:hint="eastAsia" w:ascii="宋体" w:hAnsi="宋体" w:eastAsia="宋体" w:cs="宋体"/>
                <w:i w:val="0"/>
                <w:iCs w:val="0"/>
                <w:color w:val="auto"/>
                <w:sz w:val="21"/>
                <w:szCs w:val="21"/>
                <w:u w:val="none"/>
                <w:lang w:val="en-US" w:eastAsia="zh-CN" w:bidi="ar"/>
              </w:rPr>
              <w:t xml:space="preserve">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有趣的蜘蛛—曹氏棘腹蛛</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有趣的蜘蛛—梭德氏棘蛛</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有趣的蜘蛛—狼毒</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有趣的蜘蛛—横纹金蛛</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AA3-20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有趣的蜘蛛—里氏盘腹蛛</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AA3-21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有趣的蜘蛛—斑络新妇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AA3-22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有趣的蜘蛛—拟水狼蛛</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AA3-23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有趣的蜘蛛—虎纹捕鸟蛛</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AA3-24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有趣的甲虫—虎纹蛛</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AA3-25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有趣的甲虫—鬼艳锹甲</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AA3-26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有趣的甲虫—锹甲</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AA3-27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有趣的甲虫—麻步甲</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AA3-28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有趣的甲虫—褐带凹缘跳甲</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AA3-29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有趣的甲虫—竹象甲</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AA3-30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有趣的甲虫—虎甲</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#1.标本盒采用尺寸≥28*18*3cm的原木色塑标本盒包装，浮法玻璃面。标本体采用有机树脂包埋制作。表面打磨平整，无明显伤痕，内部无水汽、发霉、虫蛀等情况。</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AA3-31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植物种子标本—黑小麦</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AA3-32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植物种子标本—大麦</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AA3-33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植物种子标本—香菜</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AA3-34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植物种子标本—茴香</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AA3-35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植物种子标本—葡萄</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AA3-36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植物种子标本—橘子</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AA3-37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植物种子标本—萝卜</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AA3-38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植物种子标本—茼蒿</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AA3-39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植物种子标本—茉莉</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AA3-40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植物种子标本—牵牛花</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AA3-41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植物种子标本—绿豆</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AA3-42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植物种子标本—红豆</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AA3-43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植物种子标本—红刺玫</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AA3-44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植物种子标本—石榴</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AA3-45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植物种子标本—空心菜</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425"/>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AA3-46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植物种子标本—茄子</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AA3-47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植物种子标本—波斯菊</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AA3-48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植物种子标本—红高粱</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AA3-49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植物种子标本—油菜</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AA3-50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植物种子标本—辣椒</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AA3-51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植物种子标本—水稻</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AA3-52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植物种子标本—玉米</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AA3-53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植物种子标本—栾树</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AA3-54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植物种子标本—剑麻</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AA3-55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植物种子标本—山楂</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AA3-56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植物种子标本—无花果</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AA3-57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植物种子标本—向日葵</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AA3-58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植物种子标本—满天星</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AA3-59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植物种子标本—南瓜</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AA3-60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植物种子标本—番茄</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采用尺寸≥28*18*3cm的原木色塑标本盒包装，浮法玻璃面。种子标本由高透圆形透明皿密封。盒底部需有对应种子标本的详细高清彩图及对应种子标本的详细科普介绍，并清楚显示对应种子标本的拉丁学名及科目属。标本盒后置可悬挂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AA3-61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探索古生物奥秘—古生物牙齿化石</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#1.包含多纹齿鼠鲨、乌鸦鲨、鼠鲨牙三种原生态化石，自然形态，产品由≥197*145*30mm木质标本展示盒制作，透明部分为高透浮法玻璃。标本盒内需有挡板及卡纸固定以</w:t>
            </w:r>
            <w:r>
              <w:rPr>
                <w:rFonts w:hint="eastAsia" w:ascii="宋体" w:hAnsi="宋体" w:cs="宋体"/>
                <w:i w:val="0"/>
                <w:iCs w:val="0"/>
                <w:color w:val="auto"/>
                <w:sz w:val="21"/>
                <w:szCs w:val="21"/>
                <w:u w:val="none"/>
                <w:lang w:val="en-US" w:eastAsia="zh-CN" w:bidi="ar"/>
              </w:rPr>
              <w:t xml:space="preserve">保证</w:t>
            </w:r>
            <w:r>
              <w:rPr>
                <w:rFonts w:hint="eastAsia" w:ascii="宋体" w:hAnsi="宋体" w:eastAsia="宋体" w:cs="宋体"/>
                <w:i w:val="0"/>
                <w:iCs w:val="0"/>
                <w:color w:val="auto"/>
                <w:sz w:val="21"/>
                <w:szCs w:val="21"/>
                <w:u w:val="none"/>
                <w:lang w:val="en-US" w:eastAsia="zh-CN" w:bidi="ar"/>
              </w:rPr>
              <w:t xml:space="preserve">产品美观性。标本盒背面带有可支撑支架可直接摆放并含有可挂墙的相关配件挂钩。生产厂家品牌需经商标注册，并持有品牌商标注册证书。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AA3-62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探索古生物奥秘—玉化螺化石</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#1.地球五次物种大爆发时期原生态化石，自然形态，产品由≥145*108*23mm木质标本展示盒制作，透明部分为高透浮法玻璃。标本盒内需有挡板及卡纸固定以</w:t>
            </w:r>
            <w:r>
              <w:rPr>
                <w:rFonts w:hint="eastAsia" w:ascii="宋体" w:hAnsi="宋体" w:cs="宋体"/>
                <w:i w:val="0"/>
                <w:iCs w:val="0"/>
                <w:color w:val="auto"/>
                <w:sz w:val="21"/>
                <w:szCs w:val="21"/>
                <w:u w:val="none"/>
                <w:lang w:val="en-US" w:eastAsia="zh-CN" w:bidi="ar"/>
              </w:rPr>
              <w:t xml:space="preserve">保证</w:t>
            </w:r>
            <w:r>
              <w:rPr>
                <w:rFonts w:hint="eastAsia" w:ascii="宋体" w:hAnsi="宋体" w:eastAsia="宋体" w:cs="宋体"/>
                <w:i w:val="0"/>
                <w:iCs w:val="0"/>
                <w:color w:val="auto"/>
                <w:sz w:val="21"/>
                <w:szCs w:val="21"/>
                <w:u w:val="none"/>
                <w:lang w:val="en-US" w:eastAsia="zh-CN" w:bidi="ar"/>
              </w:rPr>
              <w:t xml:space="preserve">产品美观性。标本盒背面带有可支撑支架可直接摆放并含有可挂墙的相关配件挂钩。产品需显示具体产品名称及相关产品科普简介。生产厂家品牌需经商标注册，并持有品牌商标注册证书。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AA3-63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探索古生物奥秘—三叶角化石</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#1.地球五次物种大爆发时期原生态化石，自然形态，产品由≥145*108*23mm木质标本展示盒制作，透明部分为高透浮法玻璃。标本盒内需有挡板及卡纸固定以</w:t>
            </w:r>
            <w:r>
              <w:rPr>
                <w:rFonts w:hint="eastAsia" w:ascii="宋体" w:hAnsi="宋体" w:cs="宋体"/>
                <w:i w:val="0"/>
                <w:iCs w:val="0"/>
                <w:color w:val="auto"/>
                <w:sz w:val="21"/>
                <w:szCs w:val="21"/>
                <w:u w:val="none"/>
                <w:lang w:val="en-US" w:eastAsia="zh-CN" w:bidi="ar"/>
              </w:rPr>
              <w:t xml:space="preserve">保证</w:t>
            </w:r>
            <w:r>
              <w:rPr>
                <w:rFonts w:hint="eastAsia" w:ascii="宋体" w:hAnsi="宋体" w:eastAsia="宋体" w:cs="宋体"/>
                <w:i w:val="0"/>
                <w:iCs w:val="0"/>
                <w:color w:val="auto"/>
                <w:sz w:val="21"/>
                <w:szCs w:val="21"/>
                <w:u w:val="none"/>
                <w:lang w:val="en-US" w:eastAsia="zh-CN" w:bidi="ar"/>
              </w:rPr>
              <w:t xml:space="preserve">产品美观性。标本盒背面带有可支撑支架可直接摆放并含有可挂墙的相关配件挂钩。产品需显示具体产品名称及相关产品科普简介。生产厂家品牌需经商标注册，并持有品牌商标注册证书。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AA3-64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探索古生物奥秘—斑彩螺化石</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#1.地球五次物种大爆发时期原生态化石，自然形态，产品由≥145*108*23mm木质标本展示盒制作，透明部分为高透浮法玻璃。标本盒内需有挡板及卡纸固定以</w:t>
            </w:r>
            <w:r>
              <w:rPr>
                <w:rFonts w:hint="eastAsia" w:ascii="宋体" w:hAnsi="宋体" w:cs="宋体"/>
                <w:i w:val="0"/>
                <w:iCs w:val="0"/>
                <w:color w:val="auto"/>
                <w:sz w:val="21"/>
                <w:szCs w:val="21"/>
                <w:u w:val="none"/>
                <w:lang w:val="en-US" w:eastAsia="zh-CN" w:bidi="ar"/>
              </w:rPr>
              <w:t xml:space="preserve">保证</w:t>
            </w:r>
            <w:r>
              <w:rPr>
                <w:rFonts w:hint="eastAsia" w:ascii="宋体" w:hAnsi="宋体" w:eastAsia="宋体" w:cs="宋体"/>
                <w:i w:val="0"/>
                <w:iCs w:val="0"/>
                <w:color w:val="auto"/>
                <w:sz w:val="21"/>
                <w:szCs w:val="21"/>
                <w:u w:val="none"/>
                <w:lang w:val="en-US" w:eastAsia="zh-CN" w:bidi="ar"/>
              </w:rPr>
              <w:t xml:space="preserve">产品美观性。标本盒背面带有可支撑支架可直接摆放并含有可挂墙的相关配件挂钩。产品需显示具体产品名称及相关产品科普简介。生产厂家品牌需经商标注册，并持有品牌商标注册证书。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AA3-65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探索古生物奥秘—三叶虫尾化石</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#1.地球五次物种大爆发时期原生态化石，自然形态，产品由≥145*108*23mm木质标本展示盒制作，透明部分为高透浮法玻璃。标本盒内需有挡板及卡纸固定以</w:t>
            </w:r>
            <w:r>
              <w:rPr>
                <w:rFonts w:hint="eastAsia" w:ascii="宋体" w:hAnsi="宋体" w:cs="宋体"/>
                <w:i w:val="0"/>
                <w:iCs w:val="0"/>
                <w:color w:val="auto"/>
                <w:sz w:val="21"/>
                <w:szCs w:val="21"/>
                <w:u w:val="none"/>
                <w:lang w:val="en-US" w:eastAsia="zh-CN" w:bidi="ar"/>
              </w:rPr>
              <w:t xml:space="preserve">保证</w:t>
            </w:r>
            <w:r>
              <w:rPr>
                <w:rFonts w:hint="eastAsia" w:ascii="宋体" w:hAnsi="宋体" w:eastAsia="宋体" w:cs="宋体"/>
                <w:i w:val="0"/>
                <w:iCs w:val="0"/>
                <w:color w:val="auto"/>
                <w:sz w:val="21"/>
                <w:szCs w:val="21"/>
                <w:u w:val="none"/>
                <w:lang w:val="en-US" w:eastAsia="zh-CN" w:bidi="ar"/>
              </w:rPr>
              <w:t xml:space="preserve">产品美观性。标本盒背面带有可支撑支架可直接摆放并含有可挂墙的相关配件挂钩。产品需显示具体产品名称及相关产品科普简介。生产厂家品牌需经商标注册，并持有品牌商标注册证书。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AA3-66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探索古生物奥秘—巴普洛夫菊石</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#1.地球五次物种大爆发时期原生态化石，自然形态，产品由≥145*108*23mm木质标本展示盒制作，透明部分为高透浮法玻璃。标本盒内需有挡板及卡纸固定以</w:t>
            </w:r>
            <w:r>
              <w:rPr>
                <w:rFonts w:hint="eastAsia" w:ascii="宋体" w:hAnsi="宋体" w:cs="宋体"/>
                <w:i w:val="0"/>
                <w:iCs w:val="0"/>
                <w:color w:val="auto"/>
                <w:sz w:val="21"/>
                <w:szCs w:val="21"/>
                <w:u w:val="none"/>
                <w:lang w:val="en-US" w:eastAsia="zh-CN" w:bidi="ar"/>
              </w:rPr>
              <w:t xml:space="preserve">保证</w:t>
            </w:r>
            <w:r>
              <w:rPr>
                <w:rFonts w:hint="eastAsia" w:ascii="宋体" w:hAnsi="宋体" w:eastAsia="宋体" w:cs="宋体"/>
                <w:i w:val="0"/>
                <w:iCs w:val="0"/>
                <w:color w:val="auto"/>
                <w:sz w:val="21"/>
                <w:szCs w:val="21"/>
                <w:u w:val="none"/>
                <w:lang w:val="en-US" w:eastAsia="zh-CN" w:bidi="ar"/>
              </w:rPr>
              <w:t xml:space="preserve">产品美观性。标本盒背面带有可支撑支架可直接摆放并含有可挂墙的相关配件挂钩。产品需显示具体产品名称及相关产品科普简介。生产厂家品牌需经商标注册，并持有品牌商标注册证书。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AA3-67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探索古生物奥秘—震旦角直角石</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#1.地球五次物种大爆发时期原生态化石，自然形态，产品由≥145*108*23mm木质标本展示盒制作，透明部分为高透浮法玻璃。标本盒内需有挡板及卡纸固定以</w:t>
            </w:r>
            <w:r>
              <w:rPr>
                <w:rFonts w:hint="eastAsia" w:ascii="宋体" w:hAnsi="宋体" w:cs="宋体"/>
                <w:i w:val="0"/>
                <w:iCs w:val="0"/>
                <w:color w:val="auto"/>
                <w:sz w:val="21"/>
                <w:szCs w:val="21"/>
                <w:u w:val="none"/>
                <w:lang w:val="en-US" w:eastAsia="zh-CN" w:bidi="ar"/>
              </w:rPr>
              <w:t xml:space="preserve">保证</w:t>
            </w:r>
            <w:r>
              <w:rPr>
                <w:rFonts w:hint="eastAsia" w:ascii="宋体" w:hAnsi="宋体" w:eastAsia="宋体" w:cs="宋体"/>
                <w:i w:val="0"/>
                <w:iCs w:val="0"/>
                <w:color w:val="auto"/>
                <w:sz w:val="21"/>
                <w:szCs w:val="21"/>
                <w:u w:val="none"/>
                <w:lang w:val="en-US" w:eastAsia="zh-CN" w:bidi="ar"/>
              </w:rPr>
              <w:t xml:space="preserve">产品美观性。标本盒背面带有可支撑支架可直接摆放并含有可挂墙的相关配件挂钩。产品需显示具体产品名称及相关产品科普简介。生产厂家品牌需经商标注册，并持有品牌商标注册证书。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33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中学常规标本</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left"/>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AA4-01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鱼解剖浸制标本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#1.标本浸泡液体采用透明度高、无味、无害的新型液体浸制制作。标本长度≥150mm鲫鱼或鲤鱼，标本右侧展示外形，做出切开展示内部器官和血管。生产厂家品牌需经商标注册，并持有品牌商标注册证书。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AA4-02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蛙解剖浸制标本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#1.标本浸泡液体采用透明度高、无味、无害的新型液体浸制制作。液体用透明度高、无毒、无味、无害的新型液体，长期使用不变色，不腐烂。</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AA4-03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蜥蜴解剖浸制标本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#1.标本浸泡液体采用透明度高、无味、无害的新型液体浸制制作。液体用透明度高、无毒、无味、无害的新型液体，长期使用不变色，不腐烂。生产厂家品牌需经商标注册，并持有品牌商标注册证书。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AA4-04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鸽解剖浸制标本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#1.标本浸泡液体采用透明度高、无味、无害的新型液体浸制制作。液体用透明度高、无毒、无味、无害的新型液体，长期使用不变色，不腐烂。生产厂家品牌需经商标注册，并持有品牌商标注册证书。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AA4-05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兔解剖浸制标本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#1.标本浸泡液体采用透明度高、无味、无害的新型液体浸制制作。兔沿腹中线切开，展示内部结构、器官和血管。生产厂家品牌需经商标注册，并持有品牌商标注册证书。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AA4-06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蛙发育顺序标本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#1.标本浸泡液体采用透明度高、无味、无害的新型液体浸制制作。液体用透明度高、无毒、无味、无害的新型液体，长期使用不变色，不腐烂。生产厂家品牌需经商标注册，并持有品牌商标注册证书。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AA4-07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蛔虫标本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选用雌虫体长不小于200～350㎜，雄虫体长不小于150～250㎜的成虫制成，雌雄合装于一个容器中。虫体应呈乳白色或微带红色，雌虫尾部尖直，雄虫尾部向腹面卷曲，雌雄均为前端开口，身体表面有角质层。标本保护液应基本注满容器，封口要严密牢固，绑缚在衬板上的虫体应呈丝状，牢固、不窜动。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AA4-08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花序类型保色浸制标本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#1.标本浸泡液体采用透明度高、无味、无害的新型液体浸制制作。不少于七种。</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AA4-09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花冠类型保色浸制标本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#1.标本浸泡液体采用透明度高、无味、无害的新型液体浸制制作。十字花科，豆科，菊科等七种。</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褐藻类植物保色浸制标本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浸泡液体采用透明度高、无味、无害的新型液体浸制制作。海带等四种，大小适当，边缘整齐。标本采取保色处理工艺，透明树脂覆盖工艺制成，标本平整、严密、无空隙、无气泡。植物体形态自然，构造完美，色泽正常 ，发育良好。</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红藻类植物保色浸制标本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#1.标本浸泡液体采用透明度高、无味、无害的新型液体浸制制作。紫菜等四种，标本采取保色处理工艺，透明树脂覆盖工艺制成，标本平整、严密、无空隙、无气泡。植物体形态自然，构造完美，色泽正常 ，发育良好。生产厂家品牌需经商标注册，并持有品牌商标注册证书。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海葵标本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#1.标本用营固着生活、体高不小于25mm（从口盘到基盘的垂直距离，不包括触手）的个体制作；标本以体筒的任一面向衬板或以基盘固着于瓶底，口向上，示口、口盘、触手、体筒和基盘;</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海蛰标本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#1.标本用伞部直径不小于50mm的海蛰制作；标本浮于容器内，示海蛰的伞部、腕部和附属器等；</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寄居蟹标本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浸泡液体采用透明度高、无味、无害的新型液体浸制制作。标本瓶采用3mm透明有机玻璃制作，正视为平面，以利于正常观察，标本瓶为密封状态，顶盖有可拧下来方便更换保存液的塑料螺丝，标本瓶尺寸不小于8.5×8.5×13.5cm；标本寄居蟹螺壳直径不小于5cm；浸制保存。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寄居蟹与其他生物共生标本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浸泡液体采用透明度高、无味、无害的新型液体浸制制作。标本瓶采用3mm透明有机玻璃制作，正视为平面，以利于正常观察，标本瓶为密封状态，顶盖有可拧下来方便更换保存液的塑料螺丝，标本瓶尺寸不小于8.5×8.5×13.5cm；标本寄居蟹螺壳直径不小于5cm，共生的海葵直径不小于1cm；浸制保存。生产厂家品牌需经商标注册.</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寄生绦虫囊尾蚴猪肉浸制标本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浸泡液体采用透明度高、无味、无害的新型液体浸制制作。标本瓶采用3mm透明有机玻璃制作，正视为平面，以利于正常观察，标本瓶为密封状态，顶盖有可拧下来方便更换保存液的塑料螺丝，标本瓶尺寸不小于8.5×4×19cm；标本上不少于2个病灶，浸制保存。</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珍贵植物保色浸制标本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浸泡液体采用透明度高、无味、无害的新型液体浸制制作。标本瓶采用3mm透明有机玻璃制作，正视为平面，以利于正常观察，标本瓶为密封状态，顶盖有可拧下来方便更换保存液的塑料螺丝，标本瓶尺寸不小于13×3.5×18.5cm；标本由3种组成；保色浸制保存。</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葫芦藓生活史标本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#1.产品用葫芦藓制作，示藓类植物的不同世代； </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蕨生活史标本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上盖采用透明浮法玻璃制作，下盖由环保厚卡纸加工制作而成，标本盒尺寸不小于21.7*17.1*3.2cm，上下盖可以打开，便于学生更直观的观察，不易破损，接合紧密。标本应固定牢固，不易脱落。生产厂家品牌需经商标注册</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AA4-20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蝗虫生活史标本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#1.产品用东亚飞蝗或亚洲飞蝗制作，示昆虫的不完全变态；标本由卵、一至五龄的跳蝻、雄性成虫、雌性成虫和被害物组成；卵和虫体浸制，分装于小容器内，虫体以腹面向下定位；按生活史顺序排列；</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AA4-21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蜜蜂生活史标本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用意蜂或中蜂制作，示昆虫的完全变态，社会性昆虫不同类型的个体和其经济意义；产品由卵、中（或老）熟幼虫、蛹、工蜂、雄蜂和母蜂（蜂王）组成，附巢础、蜂巢（包括一个母蜂房）、蜂蜡和蜂蜜；按生活史顺序排列；</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AA4-22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竹节虫拟态标本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#1.标本以选用竹节虫目中除叶科以外的种类制作，示保护色和拟竹叶状、虫体应不小于70mm；标本由一个竹节虫和一植株组成，虫体腹面向下，定位于植株上；</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AA4-23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家蚕生活史标本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#1.由卵、幼虫（四龄）、蛹、雌雄成虫及茧组成；按生活史顺序排列；蚕体洁净，示气门、胸足三对、腹足四对，尾足一对及尾角；</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AA4-24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菜粉蝶生活史标本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上盖采用透明浮法玻璃制作，下盖由环保厚卡纸加工制作而成，标本盒尺寸不小于21.7*17.1*3.2cm，上下盖可以打开，便于学生更直观的观察，不易破损，接合紧密。标本应固定牢固，不易脱落。生产厂家品牌需经商标注册</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AA4-25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兔骨骼标本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显示中轴骨骼的头骨、舌器骨、七块颈椎、十三块胸椎、七块腰椎、荐椎、十五至十八块尾椎、十三对肋骨和六块胸骨；标本显示附肢骨骼的肩胛骨、锁骨、肱骨、尺骨、桡骨、腕骨九块、掌骨五块、指骨五个、骨盆、股骨、膝盖骨、胫骨、腓骨、跗骨六块、骨四块、趾骨四个。</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AA4-26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鱼骨骼标本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由鳍条完整，骨骼形态正常的鲫鱼或鲤鱼制作，体长前者不小于220mm，后者不小于290mm；标本左侧的鳃盖骨和下鳃盖骨卸下，示头部的舌弓、鳃弓、肩带与头骨之连接方式和围耳骨等形态结构，另附尾椎一条；标本以自然形态安装定位，从左右两面显示中轴骨骼的头骨（包括颅骨和咽骨）、脊柱、肋骨；附肢骨骼的肩带和胸鳍骨、腰带和腹鳍的鳍条、背鳍骨、臀髓骨和尾鳍骨（包括七块尾上骨、五块尾下骨和鳍条）；</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AA4-27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蛙骨骼标本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#1.标本盒由有机玻璃底座及透明有机玻璃罩组成，由螺丝固定连接而成，尺寸不小于13×9×9cm，蟾蜍体长为不小于8cm的成体；干制。生产厂家品牌需经商标注册，并持有品牌商标注册证书。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AA4-28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鸽骨骼标本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由成熟家鸽制作；标本以站立的自然态固装在底座上，多附颈椎一块；标本显示中轴骨骼的头骨、舌器骨、13～14块颈椎、5～6块胸椎、愈合荐椎（综荐骨）、6块尾椎、尾综骨、5对胸椎的肋骨（每条肋骨各包括椎肋和胸肋）胸骨和龙骨突出；</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AA4-29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验证基因分离规律玉米标本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选用父代穗、母代穗、子一代穗、子二代穗及子二代测交穗5块玉米穗.标本盒上盖采用透明浮法玻璃制作，下盖由环保厚卡纸加工制作而成，标本盒尺寸不小于21.7*17.1*3.2cm，上下盖可以打开，便于学生更直观的观察，不易破损，接合紧密。标本应固定牢固，不易脱落。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AA4-30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褐藻类植物原色覆膜标本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#1.海带等四种，每种植物需注明其详细产地。A4制作。生产厂家品牌需经商标注册，并持有品牌商标注册证书。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AA4-31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红藻类植物原色覆膜标本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#1.紫菜等四种，海带等四种，每种植物需注明其详细产地。A4制作。生产厂家品牌需经商标注册，并持有品牌商标注册证书。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AA4-32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珊瑚标本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白珊瑚制作而成。标本盒上盖采用透明浮法玻璃制作，下盖由环保厚卡纸加工制作而成，标本盒尺寸不小于21.7*17.1*3.2cm，上下盖可以打开，便于学生更直观的观察，不易破损，接合紧密。标本应固定牢固，不易脱落。生产厂家品牌需经商标注册标本盒上盖采用透明浮法玻璃制作，下盖由环保厚卡纸加工制作而成，标本盒尺寸不小于21.7*17.1*3.2cm，上下盖可以打开，便于学生更直观的观察，不易破损，接合紧密。标本应固定牢固，不易脱落。</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AA4-33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化石标本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上盖采用透明浮法玻璃制作，下盖由环保厚卡纸加工制作而成，标本盒尺寸不小于21.7*17.1*3.2cm，上下盖可以打开，便于学生更直观的观察，不易破损，接合紧密。标本应固定牢固，不易脱落。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AA4-34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节肢动物标本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盒上盖采用透明浮法玻璃制作，下盖由环保厚卡纸加工制作而成，标本盒尺寸不小于21.7*17.1*3.2cm，上下盖可以打开，便于学生更直观的观察，不易破损，接合紧密。标本应固定牢固，不易脱落。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AA4-35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昆虫标本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#1.由常见8种昆虫组成。其中有益：蚂蚁、虎头蜂、家蚕</w:t>
            </w:r>
            <w:r>
              <w:rPr>
                <w:rFonts w:hint="eastAsia" w:ascii="宋体" w:hAnsi="宋体" w:cs="宋体"/>
                <w:i w:val="0"/>
                <w:iCs w:val="0"/>
                <w:color w:val="auto"/>
                <w:sz w:val="21"/>
                <w:szCs w:val="21"/>
                <w:u w:val="none"/>
                <w:lang w:val="en-US" w:eastAsia="zh-CN" w:bidi="ar"/>
              </w:rPr>
              <w:t xml:space="preserve">蛾</w:t>
            </w:r>
            <w:r>
              <w:rPr>
                <w:rFonts w:hint="eastAsia" w:ascii="宋体" w:hAnsi="宋体" w:eastAsia="宋体" w:cs="宋体"/>
                <w:i w:val="0"/>
                <w:iCs w:val="0"/>
                <w:color w:val="auto"/>
                <w:sz w:val="21"/>
                <w:szCs w:val="21"/>
                <w:u w:val="none"/>
                <w:lang w:val="en-US" w:eastAsia="zh-CN" w:bidi="ar"/>
              </w:rPr>
              <w:t xml:space="preserve">、土元；有害：长蝽、金龟子、硕蝽、暗黑鰓金龟子。标本盒上盖采用透明浮法玻璃制作，下盖由环保厚卡纸加工制作而成，标本盒尺寸不小于21.7*17.1*3.2cm，上下盖可以打开，便于学生更直观的观察，不易破损，接合紧密。标本应固定牢固，不易脱落。生产厂家品牌需经商标注册，并持有品牌商标注册证书。</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AA4-36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苔藓类植物标本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#1.有机树脂包埋产品，≥140*64*18mm。</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AA4-37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蕨类植物标本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#1.有机树脂包埋产品，≥164*78*20，4个。</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AA4-38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裸子植物标本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#1.有机树脂包埋产品，≥140*64*18，4个。</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AA4-39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被子植物标本</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#1.有机树脂包埋产品，≥140*64*24，4个。</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AA4-40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植物根尖纵切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取于人工培养的玉米根或蚕豆，取材部位为根冠至根毛区。切片厚度在8μm以内，每张玻片垂直放置材料1～2片。细胞核着色明显、胞质着色均匀，可见核仁、胞质。标本应在80×和200×学生显微镜下清楚观察到根尖结构，看清根冠、分生区、伸长区、根毛区和原形成层等。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AA4-41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顶芽纵切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取于人工培养的玉米根或蚕豆，取材部位为根冠至根毛区。切片厚度在8μm以内，每张玻片垂直放置材料1～2片。细胞核着色明显、胞质着色均匀，可见核仁、胞质。标本应在80×和200×学生显微镜下清楚观察到根尖结构，看清根冠、分生区、伸长区、根毛区和原形成层等。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AA4-42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南瓜茎纵切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取材为田间种植的南瓜茎，注意老幼适中。纵切片厚度在15μm～25μm以内。纵切材料两端整齐，长度不少于5㎜，表皮细胞应完整，木质部的导管应连续。纵断面上能看清皮层、机械组织、薄壁组织、双韧维管束和髓腔。标本应在80×和200×学生显微镜下清楚观察到南瓜茎横断面的结构。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AA4-43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#1.产品是单子叶植物茎纵、横切面的模型，为横切面的1/10（去掉中央部分），高不小于12cm，长约40cm，跨径约40cm。切片装于全新塑料一次性注塑而成的优质乳白色切片盒中。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AA4-44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在80×和200×学生显微镜下,观察双子叶植物茎横断面的结构。能看清表皮（有时可看到表皮毛）厚角组织、薄壁组织、髓及环列于茎中的维管束等。能切片装于全新塑料一次性注塑而成的优质乳白色切片盒中。看清维管束为外韧型，分别认出韧皮纤维、筛板、筛管、形成层和木质导管等横断结构。取材于人工培养的向日葵幼茎。切片厚度在25um以内。</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AA4-45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木本双子叶植物茎横切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取材为三年生椴木的枝条，秋末取材。切片厚度在15μm以内。各组织无破裂，表皮脱落应不超过1/4。显示横断面上木质部的年轮、皮层、木栓层、厚角组织、皮层韧皮部、形成层、木质部、髓部、髓射线等，显示基的支持和运输功能。标本应在80×和200×学生显微镜下清楚观察木本双子叶植物茎横断面的结构。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AA4-46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蚕豆叶下表皮装片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#1.取材为新鲜的气孔开放的蚕豆叶。材料整洁，不附带叶肉等其他组织，保卫细胞不收缩。 平铺装片，每片材料不小于2×2mm，四周剪切整齐。切片装于全新塑料一次性注塑而成的优质乳白色切片盒中。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AA4-47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植物细胞有丝分裂</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#1.切片厚度为5μm，每张玻片垂直放材料1～3片。根尖应完整无破损现象，细胞间可有轻微裂隙。 标本单一染色，胞核、核仁、染色体应着色明显，胞质色淡。切片装于全新塑料一次性注塑而成的优质乳白色切片盒中。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AA4-48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松叶横切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#1.能看清表皮、厚壁组织、内陷的气孔、树脂道、内皮层、维管束、薄壁组织和叶肉组织等。切片装于全新塑料一次性注塑而成的优质乳白色切片盒中。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AA4-49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胞间连丝切片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#1.切片厚芳在20μm。材料面积不小于1.5mm2，细胞不倾斜。切片装于全新塑料一次性注塑而成的优质乳白色切片盒中。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AA4-50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地衣切片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#1.应示紧密交织的菌丝组成的上皮层和下皮层，有疏松菌丝及藻类细胞组成的髓层、藻胸层。切片装于全新塑料一次性注塑而成的优质乳白色切片盒中。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AA4-51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蕨叶切片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#1.显示叶横断面的上、下表皮，栅栏组织，海绵组织及维管束等结构。切片装于全新塑料一次性注塑而成的优质乳白色切片盒中。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AA4-52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蕨原叶体装片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#1.原叶体上应显示精子器或颈卵器（也可兼有）和假根。切片装于全新塑料一次性注塑而成的优质乳白色切片盒中。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AA4-53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蕨原叶体幼孢子体装片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#1.原叶体上有根、茎和早出的第一叶。切片装于全新塑料一次性注塑而成的优质乳白色切片盒中。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AA4-54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花粉萌发装片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#1.结构及外观的一般要求产品性能满足初中生物实验教学的要求。切片装于全新塑料一次性注塑而成的优质乳白色切片盒中。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AA4-55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百合子房切片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#1.结构及外观的一般要求产品性能满足初中生物实验教学的要求。切片装于全新塑料一次性注塑而成的优质乳白色切片盒中。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AA4-56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百合花药切片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#1.结构及外观的一般要求产品性能满足初中生物实验教学的要求。切片装于全新塑料一次性注塑而成的优质乳白色切片盒中。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AA4-57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芥菜幼胚切片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#1.结构及外观的一般要求产品性能满足初中生物实验教学的要求。切片装于全新塑料一次性注塑而成的优质乳白色切片盒中。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AA4-58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芥菜老胚切片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#1.结构及外观的一般要求产品性能满足初中生物实验教学的要求。切片装于全新塑料一次性注塑而成的优质乳白色切片盒中。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AA4-59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迎春叶横切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#1.取材为木樨科迎春花的叶片。切片厚度在15μm 以内，每张玻片应放材料不少于二片。取材用番红、固绿染色，使表皮、叶脉呈红色，其他绿色。在80×和200×镜下可清楚观察叶子的内部结构、排列紧密的叶表皮，表皮细胞外壁有一层不易透水的角质层。表皮下有保卫细胞组成的气孔。叶肉由栅栏组织和海绵组织构成，细胞内含有较多的叶绿体。束状结构的叶脉包括两种管道：导管、筛管。玻片应完整，无污染，各组织间无裂隙。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AA4-60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玉米种子纵切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#1.结构及外观的一般要求产品性能满足初中生物实验教学的要求。切片装于全新塑料一次性注塑而成的优质乳白色切片盒中。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AA4-61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洋葱鳞片叶表皮装片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#1.取材为新鲜的洋葱鳞片叶的表皮，每片取材不小于2×2㎜，四周剪切整齐。切片装于全新塑料一次性注塑而成的优质乳白色切片盒中。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AA4-62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草本植物茎横切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#1.结构及外观的一般要求产品性能满足初中生物实验教学的要求。切片装于全新塑料一次性注塑而成的优质乳白色切片盒中。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AA4-63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洋葱表皮装片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取材为新鲜的洋葱鳞片叶的表皮，每片取材不小于2×2㎜，四周剪切整齐。取材平铺装片，不带表皮下的组织，可轻度染色。在80×和200×显微镜下可清楚观察到排列整齐的许多小长方体（小格），同时可观察到细胞壁、细胞膜、细胞质及数个液泡。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AA4-64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叶片横切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AA4-65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叶片气孔装片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AA4-66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青霉装片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取材为人工培养的典型青霉。视菌株培养情况做装片或切片，切片方向平行于分生孢子梗，厚度根据菌株培养情况决定。显示营养菌丝及其上的分生孢子梗和顶端的帚状枝。能在200×学生显微镜下清楚观察青霉的形态，在400×学生显微镜下清楚观察帚状枝的梗基和小梗上呈链状的分生孢子。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AA4-67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衣藻装片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AA4-68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细菌三型涂片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取材于人工培养的球菌、杆菌、螺旋菌。球菌可用单球菌、双球菌或葡萄球菌；杆菌可用枯草杆菌、大肠杆菌或炭疽杆菌；螺旋菌可用具有一个弯以上的任一种螺旋菌。做三种细菌的混合涂片，所用玻片应经洗液清洗。选用能显示菌体的染色方法，不得出现任何沉淀物。</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在500×生物显微镜下清楚观察细菌的三种基本形态。切片装于全新塑料一次性注塑而成的优质乳白色切片盒中。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AA4-69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酵母菌装片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AA4-70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水绵结合生殖装片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AA4-71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水绵装片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AA4-72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团藻装片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AA4-73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曲霉装片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AA4-74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伞蕈切片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AA4-75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黑根霉装片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AA4-76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水螅纵切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AA4-77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蚯蚓横切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AA4-78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动物细胞有丝分裂切片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AA4-79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草履虫结合生殖装片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AA4-80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草履虫分裂生殖装片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AA4-81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囊虫装片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AA4-82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血吸虫雌雄合抱装片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AA4-83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血吸虫雄虫装片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AA4-84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血吸虫雌虫装片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AA4-85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家蚊(雌)口器装片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AA4-86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水螅带芽整体装片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AA4-87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水螅过精巢横切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AA4-88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水螅过卵巢横切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AA4-89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动物表皮细胞装片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AA4-90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蛙卵细胞切片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AA4-91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单层扁平上皮装片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AA4-92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复层扁平上皮装片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AA4-93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人皮过毛囊切片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AA4-94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人皮过汗腺切片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AA4-95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纤维结缔组织装片（腱纵切）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AA4-96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疏松结缔组织装片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AA4-97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人血涂片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AA4-98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骨骼肌纵横切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AA4-99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平滑肌分离装片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AA4-100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心肌切片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AA4-101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运动神经元装片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AA4-102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脊髓横切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AA4-103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运动神经末梢装片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AA4-104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胃壁切片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AA4-105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肾脏纵切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AA4-106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动静脉血管横切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AA4-107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小肠切片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AA4-108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肺血管注射切片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AA4-109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肾血管注射切片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AA4-110</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精巢切片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AA4-111</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卵巢切片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AA4-112</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精虫涂片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AA4-113</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口腔上皮细胞装片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AA4-114</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蛔虫卵装片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AA4-115</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骨细胞切片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AA4-116</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口腔粘膜细胞装片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AA4-117</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人血细胞装片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AA4-118</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字母“e”装片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903"/>
        </w:trPr>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AA4-119</w:t>
            </w:r>
            <w:r/>
          </w:p>
        </w:tc>
        <w:tc>
          <w:tcPr>
            <w:shd w:val="clear" w:color="auto" w:fill="auto"/>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正常人染色体装片</w:t>
            </w:r>
            <w:r/>
          </w:p>
        </w:tc>
        <w:tc>
          <w:tcPr>
            <w:shd w:val="clear" w:color="auto" w:fill="auto"/>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1.标本应能在学生显微镜下观察清晰。所要显示的组织机构应选自标准、典型的生物材料和正确的取材部位。玻片应边角完整，无斑点、纹络、磨伤、霉斑等缺陷。切片装于全新塑料一次性注塑而成的优质乳白色切片盒中。</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bl>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r>
      <w:r/>
    </w:p>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r>
      <w:r/>
    </w:p>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ectPr>
          <w:footnotePr/>
          <w:endnotePr/>
          <w:type w:val="nextPage"/>
          <w:pgSz w:w="11906" w:h="16838" w:orient="portrait"/>
          <w:pgMar w:top="1440" w:right="1080" w:bottom="1440" w:left="1080" w:header="851" w:footer="992" w:gutter="0"/>
          <w:cols w:num="1" w:sep="0" w:space="425" w:equalWidth="1"/>
          <w:docGrid w:linePitch="360"/>
        </w:sectPr>
        <w:suppressLineNumbers w:val="0"/>
      </w:pPr>
      <w:r>
        <w:rPr>
          <w:rFonts w:hint="eastAsia" w:ascii="宋体" w:hAnsi="宋体" w:eastAsia="宋体" w:cs="宋体"/>
          <w:b/>
          <w:bCs/>
          <w:i w:val="0"/>
          <w:iCs w:val="0"/>
          <w:color w:val="auto"/>
          <w:sz w:val="21"/>
          <w:szCs w:val="21"/>
          <w:u w:val="none"/>
          <w:lang w:val="en-US" w:eastAsia="zh-CN" w:bidi="ar"/>
        </w:rPr>
      </w:r>
      <w:r/>
    </w:p>
    <w:tbl>
      <w:tblPr>
        <w:tblStyle w:val="727"/>
        <w:tblW w:w="5185" w:type="pct"/>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8"/>
        <w:gridCol w:w="1365"/>
        <w:gridCol w:w="6614"/>
        <w:gridCol w:w="735"/>
        <w:gridCol w:w="659"/>
      </w:tblGrid>
      <w:tr>
        <w:trPr>
          <w:trHeight w:val="567"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AB-历史地理教室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378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AB1-01</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智能云盒</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#1.天线类型：内置天线；CPU参数：双核心、四线程、≥2.2GHZ、三级缓存4MB；RAM：≥8GB；</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#2.内置硬盘：≥128GB，可扩展到2TB，支持截屏图片、录制视频的存储与调用；按键：电源键 *1，录制键 *1；HDMI接口：具备≥2个HDMI输入接口，支持电脑、摄像头、实物展台等外部设备的有线接入；具备≥2个HDMI输出接口，支持输出到≥2个不同的大屏端；影音接口：</w:t>
            </w:r>
            <w:r>
              <w:rPr>
                <w:rFonts w:hint="eastAsia" w:ascii="宋体" w:hAnsi="宋体" w:eastAsia="宋体" w:cs="宋体"/>
                <w:i w:val="0"/>
                <w:iCs w:val="0"/>
                <w:strike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1，支持麦克风的连接；</w:t>
            </w:r>
            <w:r>
              <w:rPr>
                <w:rFonts w:hint="eastAsia" w:ascii="宋体" w:hAnsi="宋体" w:eastAsia="宋体" w:cs="宋体"/>
                <w:i w:val="0"/>
                <w:iCs w:val="0"/>
                <w:strike w:val="0"/>
                <w:color w:val="auto"/>
                <w:sz w:val="21"/>
                <w:szCs w:val="21"/>
                <w:u w:val="none"/>
                <w:lang w:val="en-US" w:eastAsia="zh-CN" w:bidi="ar"/>
              </w:rPr>
              <w:t xml:space="preserve">≥</w:t>
            </w:r>
            <w:r>
              <w:rPr>
                <w:rFonts w:hint="eastAsia" w:ascii="宋体" w:hAnsi="宋体" w:eastAsia="宋体" w:cs="宋体"/>
                <w:i w:val="0"/>
                <w:iCs w:val="0"/>
                <w:strike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，支持音箱的连接；USB接口：具备≥3个USB接口，支持U盘、鼠标、键盘、摄像头的接入；内置无线AP：内置无线AP模块，工作频段：2.4GHz和5GHz；最大无线速率≥1.3Gbps；</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#3.网络接口：具备≥3个10/100/1000Mbps以太网RJ45数据接口，支持WAN口外接网线接入互联网，或LAN口外接网线输出网络数据；网络工作模式：支持无线路由器、无线交换和网络终端</w:t>
            </w:r>
            <w:r>
              <w:rPr>
                <w:rFonts w:hint="eastAsia" w:ascii="宋体" w:hAnsi="宋体" w:cs="宋体"/>
                <w:i w:val="0"/>
                <w:iCs w:val="0"/>
                <w:strike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模式；HDMI输出适配：支持多种显示分辨率，可自动适配外接的大屏端分辨率，最高支持3840*2160分辨率；</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#4.支持定时重启功能，投屏传输距离大于100米。</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738"/>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AB1-02</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课堂交互系统软件</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#1.多语言切换：系统支持多种语言模式的快速切换；</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屏幕工具条：用户可直接在触控显示屏上触控点击系统工具条，或通过鼠标点击工具条进行操作，工具条具有截屏、录制、广播、布局、切屏、批注、白板、互动等功能按钮，并显示时间、设备名称、网络IP等信息。</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#3.软件遥控器：扫码下载遥控器APP即可将移动终端作为控制端，软件控制端支持截屏、录制、广播、布局、批注、白板、互动等功能按钮，支持Windows、Android、iOS系统设备安装控制端软件。</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#4.全屏缩放：支持在遥控器APP端或触控显示屏端对显示画面进行缩小、放大操作，能够对单屏或多屏画面进行放大。</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#5.国产化支持：支持国产操作系统和国产CPU环境下，实现</w:t>
            </w:r>
            <w:r>
              <w:rPr>
                <w:rFonts w:hint="eastAsia" w:ascii="宋体" w:hAnsi="宋体" w:eastAsia="宋体" w:cs="宋体"/>
                <w:i w:val="0"/>
                <w:iCs w:val="0"/>
                <w:strike w:val="0"/>
                <w:color w:val="auto"/>
                <w:sz w:val="21"/>
                <w:szCs w:val="21"/>
                <w:u w:val="none"/>
                <w:lang w:val="en-US" w:eastAsia="zh-CN" w:bidi="ar"/>
              </w:rPr>
              <w:t xml:space="preserve">≥10</w:t>
            </w:r>
            <w:r>
              <w:rPr>
                <w:rFonts w:hint="eastAsia" w:ascii="宋体" w:hAnsi="宋体" w:eastAsia="宋体" w:cs="宋体"/>
                <w:i w:val="0"/>
                <w:iCs w:val="0"/>
                <w:color w:val="auto"/>
                <w:sz w:val="21"/>
                <w:szCs w:val="21"/>
                <w:u w:val="none"/>
                <w:lang w:val="en-US" w:eastAsia="zh-CN" w:bidi="ar"/>
              </w:rPr>
              <w:t xml:space="preserve">个国产电脑同时接入教学互动终端，≥10个画面同时显示。</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实验展播：支持通过网络把网络摄像机信号接入，在教学互动终端上直接读取显示。可以通过APP遥控器或屏幕工具栏对摄像机预置≥20个机位，使用时可以对摄像机快速切换机位，支持调整摄像机转动速度的快慢。</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7.文件读取：系统支持查看U盘、云盘、内置硬盘和遥控器APP上传的本地文件和云空间下载文件，支持将外接U盘中的图片、视频、音频、文档等文件资料直接上屏展示；支持通过截屏和录制将存储在图库（U盘、云盘、内置硬盘）中的图片、视频直接上屏展示。</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8.设备和文件分类：系统自动对设备（有线接入设备、无线投屏设备）、文件（U盘、云盘、内置硬盘、遥控器APP上传的本地文件和云空间下载文件）、分组（分组端教学互动终端）、网络摄像机、手写板等设备进行分类；支持对已连接的设备进行置顶、重命名、移动至分组、移除等操作。</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#9.多种画面布局显示：支持≥10个投屏设备同时接入教学互动终端，≥10个画面同时显示，且支持Auto（自适应）画面。</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#10.一键截屏：支持一键截取当前屏幕的显示画面。</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11.微课录制：支持多种方式开启微课录制，如教学互动终端的“录制”按键、屏幕工具条的“录制”按钮和遥控器APP中的“录制”按钮；支持屏幕多画面和外接麦克风声音同步录入，提供720P和1080P视频显示格式可选，录制的视频可保存在外接U盘、云盘或内置硬盘中，支持存储空间不足时的文字提醒功能；录制结果为一个标准MP4格式的视频，录制过程中可随时暂停、停止。</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#12.白板批注：系统提供画笔、激光笔、宽度、板擦、清空、撤销、重做、聚焦、随写板等工具，支持普通画笔书写、荧光画笔书写和激光笔定位。</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#13.App应用：支持第三方应用程序嵌入式安装在教学互动终端，无需借助教师平板可直接开启师生互动软件，完成课堂教学互动过程。</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14.反向控制：支持在触控显示屏上对HDMI有线接入的Windows电脑进行反向控制操作，支持无线投屏的部分Android、Windows设备进行反向控制操作，具有选择开启或关闭功能按钮，同时还支持在显示终端大屏触摸或通过教学互动终端外接鼠标以及遥控器软件进行反向控制。</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#15.双屏显示：支持教学互动终端外接≥2个显示屏，显示模式包含镜像模式、扩展模式</w:t>
            </w:r>
            <w:r>
              <w:rPr>
                <w:rFonts w:hint="eastAsia" w:ascii="宋体" w:hAnsi="宋体" w:cs="宋体"/>
                <w:i w:val="0"/>
                <w:iCs w:val="0"/>
                <w:strike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显示效果。</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#16.课程录播：支持添加追踪摄像机并对摄像机镜头和焦距进行控制。支持常态录播模式、电影模式、手动导播模式。</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9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AB1-03</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互动音频处理器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#1.音频处理部分和功率放大器集成到机箱内；具有≥4路48V供电麦克风输入； 具有≥4路平衡式线性输入，可接低延时无线麦克风输入（任何频段），无线麦克风和有线麦克风支持闪避设置；具有≥6路平衡式线性输出；</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预留1路两通道USB音频接口，可传输AEC-REF、AEC-OUT数据，可整合到电脑作为声卡，无缝对接在线教学平台及软会议平台音频系统；2路（左右声道）功放输出，每通道支持2路并联，每路最大100W；物理面板具有便于远程调试、升级的配对按键；支持远程控制和音频监听、对讲功能。</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AB1-04</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全向麦克风</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#1.传感器类型：电容式；指向性：心型；频响：50Hz~16kHz；灵敏度：-47dB±3dB(0dB=1V/Pa@1kHz)；输出阻抗：2.2kΩ（@1kHz）；</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AB1-05</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指向麦克风</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#1.传感器类型：Φ24背极式驻极体电容极头；电路特征：JFET阻抗变换；电子平衡；指向性：360度全向拾音，拾音半径可达8米；频响：50Hz-20kHz；灵敏度：-44±3dB (0dB=1V/Pa@1kHz)。</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AB1-06</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#1.系统类型：单6.5"专业全频音箱；阻抗：8Ω；频响： 50Hz-18kHz；额定功率： ≥40W；承受功率：≥100W。</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AB1-07</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跟踪摄像机</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#1.支持4K超高清分辨率图像，最大可提供4K@30fps/25fps图像编码输出，同时向下兼容1080p，720p等分辨率；传感器要求：传感器尺寸≥1/2.8英寸, 有效像素≥800万；</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#2.内置图像识别与跟踪算法</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镜头焦距：8±0.3mm；</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#3.摄像机可同时输出≥4路码流的图像，支持全景画面和特写画面同时输出，且至少一路视频支持自动导切视频输出，全景画面和特写画面分辨率同时支持1920x1080@25fps以上；具备畸变矫正功能。</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AB1-08</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云台摄像机</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#1.视频分辨率：1080P60，1080P50，1080P30，1080P25，720P60，720P50；200万有效像素高品质HD CMOS传感器；镜头：12x, f3.5mm~42.3mm, F1.8~F2.8；数字变焦：16x；数字降噪：可同时应用2D和3D降噪算法；</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#2.图像信噪比：≥55dB；视场角：水平72.5°~6.9°，垂直44.8°~3.9°；转动范围：水平±170°，垂直-30°~+90°。</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3104" behindDoc="0" locked="0" layoutInCell="1" allowOverlap="1">
                      <wp:simplePos x="0" y="0"/>
                      <wp:positionH relativeFrom="column">
                        <wp:posOffset>-533400</wp:posOffset>
                      </wp:positionH>
                      <wp:positionV relativeFrom="paragraph">
                        <wp:posOffset>567055</wp:posOffset>
                      </wp:positionV>
                      <wp:extent cx="752475" cy="361950"/>
                      <wp:effectExtent l="0" t="0" r="0" b="0"/>
                      <wp:wrapNone/>
                      <wp:docPr id="162" name="Picture_78_SpCnt_1"/>
                      <wp:cNvGraphicFramePr/>
                      <a:graphic xmlns:a="http://schemas.openxmlformats.org/drawingml/2006/main">
                        <a:graphicData uri="http://schemas.openxmlformats.org/drawingml/2006/picture">
                          <pic:pic xmlns:pic="http://schemas.openxmlformats.org/drawingml/2006/picture">
                            <pic:nvPicPr>
                              <pic:cNvPr id="162" name="Picture_78_SpCnt_1"/>
                              <pic:cNvPicPr/>
                              <pic:nvPr/>
                            </pic:nvPicPr>
                            <pic:blipFill>
                              <a:blip r:embed="rId14"/>
                              <a:stretch/>
                            </pic:blipFill>
                            <pic:spPr bwMode="auto">
                              <a:xfrm>
                                <a:off x="0" y="0"/>
                                <a:ext cx="752475" cy="361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position:absolute;z-index:251823104;o:allowoverlap:true;o:allowincell:true;mso-position-horizontal-relative:text;margin-left:-42.0pt;mso-position-horizontal:absolute;mso-position-vertical-relative:text;margin-top:44.6pt;mso-position-vertical:absolute;width:59.2pt;height:28.5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auto"/>
                <w:sz w:val="21"/>
                <w:szCs w:val="21"/>
                <w:u w:val="none"/>
                <w:lang w:val="en-US" w:eastAsia="zh-CN" w:bidi="ar"/>
              </w:rPr>
              <w:t xml:space="preserve">AB1-09</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★互动电视机</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#1.屏幕物理尺寸≥55吋；屏幕分辨率≥3840*2160；屏幕刷新率≥60Hz；屏幕可视角度≥±176度；</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#2.整机功耗≤120W。</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AB1-10</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殷墟甲骨文模型</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#1.盒装，规格：≥2</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0×230×40mm,一甲一骨，高度仿真制作。</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AB1-11</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司母戊鼎</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#1.规格:≥160×11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×19</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mm，材质：合金，高仿。</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3104" behindDoc="0" locked="0" layoutInCell="1" allowOverlap="1">
                      <wp:simplePos x="0" y="0"/>
                      <wp:positionH relativeFrom="column">
                        <wp:posOffset>352425</wp:posOffset>
                      </wp:positionH>
                      <wp:positionV relativeFrom="paragraph">
                        <wp:posOffset>0</wp:posOffset>
                      </wp:positionV>
                      <wp:extent cx="733425" cy="219075"/>
                      <wp:effectExtent l="0" t="0" r="0" b="0"/>
                      <wp:wrapNone/>
                      <wp:docPr id="163" name="Picture_78_SpCnt_2"/>
                      <wp:cNvGraphicFramePr/>
                      <a:graphic xmlns:a="http://schemas.openxmlformats.org/drawingml/2006/main">
                        <a:graphicData uri="http://schemas.openxmlformats.org/drawingml/2006/picture">
                          <pic:pic xmlns:pic="http://schemas.openxmlformats.org/drawingml/2006/picture">
                            <pic:nvPicPr>
                              <pic:cNvPr id="163" name="Picture_78_SpCnt_2"/>
                              <pic:cNvPicPr/>
                              <pic:nvPr/>
                            </pic:nvPicPr>
                            <pic:blipFill>
                              <a:blip r:embed="rId15"/>
                              <a:stretch/>
                            </pic:blipFill>
                            <pic:spPr bwMode="auto">
                              <a:xfrm>
                                <a:off x="0" y="0"/>
                                <a:ext cx="733424" cy="2190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823104;o:allowoverlap:true;o:allowincell:true;mso-position-horizontal-relative:text;margin-left:27.8pt;mso-position-horizontal:absolute;mso-position-vertical-relative:text;margin-top:0.0pt;mso-position-vertical:absolute;width:57.8pt;height:17.2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AB1-12</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筒车</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#1.规格：≥44</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×18</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×370mm，材质：木质 。</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AB1-13</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司南模型</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#1.规格：≥220×220×50mm，材质：铜、木框。</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AB1-14</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曲辕犁</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#1.规格：≥600×380×9</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mm, 材质：木质。</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AB1-15</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兵马俑</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#1.规格：高≥280mm，材质：陶瓷,一匹马四个兵俑。</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AB1-16</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三轮汽车模型</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#1.规格:≥230×170×150mm，奔驰牌。</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AB1-17</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蒸汽机模型</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#1.规格:≥150×85×90mm，材料用铝的，底板是黑色的有机板。</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AB1-18</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北京人头像</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#1.规格：≥290×260×4</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0mm，材质：高分子材料。</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AB1-19</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木活字</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#1.规格：≥280×160×2</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mm，材质：木质。</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AB1-20</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世界十大思想家挂画</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#1.根据美国《世界名人辞典》和英国《人民年鉴手册》的权威评选，世界十大思想家为：1孔子、2柏拉图、3亚里士多德、4阿奎那、5哥白尼、6培根、7牛顿、8达尔文、9伏尔泰、10康德。适当配一些文字介绍。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#2.规格：≥60*90CM。材质：KT板。</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AB1-21</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一张世界大地图</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在地图中：①标注出“一带一路”；②标注出美国在全球的主要军事基地：③标注出世界主要航道（如巴拿马运河、苏伊士运河、巴士海峡、马六甲海峡等）④标注出三大岛链。侧边可以加：①北约有哪些国家？②战略家何新的《美国解决世界问题的时间表》内容简介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#2.规格：根据现场定制。材质：KT板。</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AB1-22</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中华民族伟大复兴历程简介图</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#1.醒过来（孙中山）、站起来（毛泽东）、富起来（邓小平）、强起来（习近平）。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#2.规格：≥60*90CM。材质：KT板。</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434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AB1-23</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数字化地理互动系统/数字化历史虚拟地图软件</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#1.软件控制平台具有选择课程功能：可根据教材及教学需要选择对应的课程资源，软</w:t>
            </w:r>
            <w:r>
              <w:rPr>
                <w:rFonts w:hint="eastAsia" w:ascii="宋体" w:hAnsi="宋体" w:eastAsia="宋体" w:cs="宋体"/>
                <w:i w:val="0"/>
                <w:iCs w:val="0"/>
                <w:color w:val="auto"/>
                <w:sz w:val="21"/>
                <w:szCs w:val="21"/>
                <w:u w:val="none"/>
                <w:lang w:val="en-US" w:eastAsia="zh-CN" w:bidi="ar"/>
              </w:rPr>
              <w:t xml:space="preserve">件平台具有开始上课、备课、自建教案、清理资源、工具栏等多种操控功能，平台操作控制开始上课：选择好课程后点击“开始上课”，系统会按系统配置的方式展现资源界面，备课：可选择科目和课程，对图片、PPT、音频、视频、题目进行导入素材和删除素材操作，自建教案：在教学模式中选择教案模式，可在备课中添加老师自己的对应资源，并可选择类目、科目进行保存配置、删除素材、添加阶段操作；素材库可选择类目、科目，对需要的图片、网页、PPT、音视频、题库、叠加地图进行双击作为对应阶段的演示资源，清理资源可对所有备课资源和教案进行清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系统配置：资源盘：用户可自定义保存目录；教学模式：可选择资源模式或教案模式；PPT版本：让用户可选择匹配的分辨率1920*1080或1024*768；显示设置：具有单屏、超宽屏、双屏可选，让用户可选择匹配的硬件选项；</w:t>
            </w:r>
            <w:r>
              <w:rPr>
                <w:rFonts w:hint="eastAsia" w:ascii="宋体" w:hAnsi="宋体" w:eastAsia="宋体" w:cs="宋体"/>
                <w:i w:val="0"/>
                <w:iCs w:val="0"/>
                <w:strike/>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工具栏：具有可选择需要演示的课程对应资源及关闭返回主界面，支持对地图内容自定义设置热点，对该热点可自主添加图片、视频、音频等内容。支持增加、删减热点。图片和视频可以实现放大缩小，可根据多媒体终端设备选择2.5D或者3D资源；</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3518"/>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AB1-24</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地理AR教学系统/历史AR教学系统</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#1.硬件组成：支架1个、专用识别板1块、无线同屏设备1套；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#2.软件部分：可通过平板无线识别到识别板，可实现无线投屏到大屏，便于学生观看；系统采用AR现实增强技术方式展示、动态互动，对教学知识进行全方位观察，同时配合文字、图片、语音等元素</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系统设置有课程内容目录、难题详解、退出等控制。软件具有答题交互功能，每个AR内容均设置有题库，每次可从题库中随机组题作答；</w:t>
            </w:r>
            <w:r>
              <w:rPr>
                <w:rFonts w:hint="eastAsia" w:ascii="宋体" w:hAnsi="宋体" w:eastAsia="宋体" w:cs="宋体"/>
                <w:i w:val="0"/>
                <w:iCs w:val="0"/>
                <w:color w:val="auto"/>
                <w:sz w:val="21"/>
                <w:szCs w:val="21"/>
                <w:u w:val="none"/>
                <w:lang w:val="en-US" w:eastAsia="zh-CN" w:bidi="ar"/>
              </w:rPr>
              <w:br/>
            </w:r>
            <w:r>
              <w:rPr>
                <w:rStyle w:val="966"/>
                <w:rFonts w:hint="eastAsia" w:ascii="宋体" w:hAnsi="宋体" w:eastAsia="宋体" w:cs="宋体"/>
                <w:b/>
                <w:bCs/>
                <w:strike w:val="0"/>
                <w:color w:val="auto"/>
                <w:sz w:val="21"/>
                <w:szCs w:val="21"/>
                <w:lang w:val="en-US" w:eastAsia="zh-CN" w:bidi="ar"/>
              </w:rPr>
              <w:t xml:space="preserve">▲3.提供产品计算机软件著作权登记证书</w:t>
            </w:r>
            <w:r>
              <w:rPr>
                <w:rStyle w:val="966"/>
                <w:rFonts w:hint="eastAsia" w:ascii="宋体" w:hAnsi="宋体" w:cs="宋体"/>
                <w:b/>
                <w:bCs/>
                <w:strike w:val="0"/>
                <w:color w:val="auto"/>
                <w:sz w:val="21"/>
                <w:szCs w:val="21"/>
                <w:lang w:val="en-US" w:eastAsia="zh-CN" w:bidi="ar"/>
              </w:rPr>
              <w:t xml:space="preserve">电子扫描件;</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394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AB1-25</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地理全息交互教学系统/历史全息交互教学系统</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#1.主成像模组:物理分辨率≥1920×1920；成像比例1:1；成像对比度≥1000:1；</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#2.全息成像模组：360°全息，全息成像区透光率≥65%、反光率≥30%；</w:t>
            </w:r>
            <w:r>
              <w:rPr>
                <w:rFonts w:hint="eastAsia" w:ascii="宋体" w:hAnsi="宋体" w:cs="宋体"/>
                <w:i w:val="0"/>
                <w:iCs w:val="0"/>
                <w:color w:val="auto"/>
                <w:sz w:val="21"/>
                <w:szCs w:val="21"/>
                <w:u w:val="none"/>
                <w:lang w:val="en-US" w:eastAsia="zh-CN" w:bidi="ar"/>
              </w:rPr>
              <w:t xml:space="preserve">全息</w:t>
            </w:r>
            <w:r>
              <w:rPr>
                <w:rFonts w:hint="eastAsia" w:ascii="宋体" w:hAnsi="宋体" w:eastAsia="宋体" w:cs="宋体"/>
                <w:i w:val="0"/>
                <w:iCs w:val="0"/>
                <w:color w:val="auto"/>
                <w:sz w:val="21"/>
                <w:szCs w:val="21"/>
                <w:u w:val="none"/>
                <w:lang w:val="en-US" w:eastAsia="zh-CN" w:bidi="ar"/>
              </w:rPr>
              <w:t xml:space="preserve">影像在正常日光照度下可见；全息成像四周均可同时观看，单面最大可视角度≥140°；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#3.功能概述：全息成像区域体积≥500mm*500mm*250mm；支持小组学习；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#4.系统含教师平台端：可控制全息集中观看、分组学习、互动答题三种模式；</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19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AB1-26</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多媒体讲台</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#1.讲台长×宽×高≥1280mm×580mm×1000mm，环抱式设计，讲台桌面高度合适老师放置教学用品。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#2.钢木结合设计，采用冷轧钢板桌体，桌体所有金属板厚度≥1.5mm，</w:t>
            </w:r>
            <w:r>
              <w:rPr>
                <w:rFonts w:hint="eastAsia" w:ascii="宋体" w:hAnsi="宋体" w:eastAsia="宋体" w:cs="宋体"/>
                <w:i w:val="0"/>
                <w:iCs w:val="0"/>
                <w:strike w:val="0"/>
                <w:color w:val="auto"/>
                <w:sz w:val="21"/>
                <w:szCs w:val="21"/>
                <w:u w:val="none"/>
                <w:lang w:val="en-US" w:eastAsia="zh-CN" w:bidi="ar"/>
              </w:rPr>
              <w:t xml:space="preserve">老师接触位置为</w:t>
            </w:r>
            <w:r>
              <w:rPr>
                <w:rFonts w:hint="eastAsia" w:ascii="宋体" w:hAnsi="宋体" w:eastAsia="宋体" w:cs="宋体"/>
                <w:i w:val="0"/>
                <w:iCs w:val="0"/>
                <w:strike w:val="0"/>
                <w:color w:val="auto"/>
                <w:sz w:val="21"/>
                <w:szCs w:val="21"/>
                <w:u w:val="none"/>
                <w:lang w:val="en-US" w:eastAsia="zh-CN" w:bidi="ar"/>
              </w:rPr>
              <w:t xml:space="preserve">木质桌面</w:t>
            </w:r>
            <w:r>
              <w:rPr>
                <w:rFonts w:hint="eastAsia" w:ascii="宋体" w:hAnsi="宋体" w:eastAsia="宋体" w:cs="宋体"/>
                <w:i w:val="0"/>
                <w:iCs w:val="0"/>
                <w:color w:val="auto"/>
                <w:sz w:val="21"/>
                <w:szCs w:val="21"/>
                <w:u w:val="none"/>
                <w:lang w:val="en-US" w:eastAsia="zh-CN" w:bidi="ar"/>
              </w:rPr>
              <w:t xml:space="preserve">，桌面采用E0级环保高密度板。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#3.讲台桌面平整，全封闭设计，</w:t>
            </w:r>
            <w:r>
              <w:rPr>
                <w:rFonts w:hint="eastAsia" w:ascii="宋体" w:hAnsi="宋体" w:eastAsia="宋体" w:cs="宋体"/>
                <w:i w:val="0"/>
                <w:iCs w:val="0"/>
                <w:strike w:val="0"/>
                <w:color w:val="auto"/>
                <w:sz w:val="21"/>
                <w:szCs w:val="21"/>
                <w:u w:val="none"/>
                <w:lang w:val="en-US" w:eastAsia="zh-CN" w:bidi="ar"/>
              </w:rPr>
              <w:t xml:space="preserve">整体外观流线型设计，无</w:t>
            </w:r>
            <w:r>
              <w:rPr>
                <w:rFonts w:hint="eastAsia" w:ascii="宋体" w:hAnsi="宋体" w:cs="宋体"/>
                <w:i w:val="0"/>
                <w:iCs w:val="0"/>
                <w:strike w:val="0"/>
                <w:color w:val="auto"/>
                <w:sz w:val="21"/>
                <w:szCs w:val="21"/>
                <w:u w:val="none"/>
                <w:lang w:val="en-US" w:eastAsia="zh-CN" w:bidi="ar"/>
              </w:rPr>
              <w:t xml:space="preserve">棱角</w:t>
            </w:r>
            <w:r>
              <w:rPr>
                <w:rFonts w:hint="eastAsia" w:ascii="宋体" w:hAnsi="宋体" w:eastAsia="宋体" w:cs="宋体"/>
                <w:i w:val="0"/>
                <w:iCs w:val="0"/>
                <w:strike w:val="0"/>
                <w:color w:val="auto"/>
                <w:sz w:val="21"/>
                <w:szCs w:val="21"/>
                <w:u w:val="none"/>
                <w:lang w:val="en-US" w:eastAsia="zh-CN" w:bidi="ar"/>
              </w:rPr>
              <w:t xml:space="preserve">处理，</w:t>
            </w:r>
            <w:r>
              <w:rPr>
                <w:rFonts w:hint="eastAsia" w:ascii="宋体" w:hAnsi="宋体" w:eastAsia="宋体" w:cs="宋体"/>
                <w:i w:val="0"/>
                <w:iCs w:val="0"/>
                <w:color w:val="auto"/>
                <w:sz w:val="21"/>
                <w:szCs w:val="21"/>
                <w:u w:val="none"/>
                <w:lang w:val="en-US" w:eastAsia="zh-CN" w:bidi="ar"/>
              </w:rPr>
              <w:t xml:space="preserve">正面中部受到</w:t>
            </w:r>
            <w:r>
              <w:rPr>
                <w:rFonts w:hint="eastAsia" w:ascii="宋体" w:hAnsi="宋体" w:eastAsia="宋体" w:cs="宋体"/>
                <w:i w:val="0"/>
                <w:iCs w:val="0"/>
                <w:strike/>
                <w:color w:val="auto"/>
                <w:sz w:val="21"/>
                <w:szCs w:val="21"/>
                <w:u w:val="none"/>
                <w:lang w:val="en-US" w:eastAsia="zh-CN" w:bidi="ar"/>
              </w:rPr>
              <w:t xml:space="preserve">的</w:t>
            </w:r>
            <w:r>
              <w:rPr>
                <w:rFonts w:hint="eastAsia" w:ascii="宋体" w:hAnsi="宋体" w:eastAsia="宋体" w:cs="宋体"/>
                <w:i w:val="0"/>
                <w:iCs w:val="0"/>
                <w:color w:val="auto"/>
                <w:sz w:val="21"/>
                <w:szCs w:val="21"/>
                <w:u w:val="none"/>
                <w:lang w:val="en-US" w:eastAsia="zh-CN" w:bidi="ar"/>
              </w:rPr>
              <w:t xml:space="preserve">冲击时不会倾倒，保护师生安全。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#4.讲台支持标准机柜收纳，支持≥12U的设备收纳放置，收纳空间（含机柜部分）≥950mm×500mm×650mm</w:t>
            </w:r>
            <w:r>
              <w:rPr>
                <w:rFonts w:hint="eastAsia" w:ascii="宋体" w:hAnsi="宋体" w:eastAsia="宋体" w:cs="宋体"/>
                <w:i w:val="0"/>
                <w:iCs w:val="0"/>
                <w:strike/>
                <w:color w:val="auto"/>
                <w:sz w:val="21"/>
                <w:szCs w:val="21"/>
                <w:u w:val="none"/>
                <w:lang w:val="en-US" w:eastAsia="zh-CN" w:bidi="ar"/>
              </w:rPr>
              <w:t xml:space="preserve">±5mm</w:t>
            </w:r>
            <w:r>
              <w:rPr>
                <w:rFonts w:hint="eastAsia" w:ascii="宋体" w:hAnsi="宋体" w:eastAsia="宋体" w:cs="宋体"/>
                <w:i w:val="0"/>
                <w:iCs w:val="0"/>
                <w:color w:val="auto"/>
                <w:sz w:val="21"/>
                <w:szCs w:val="21"/>
                <w:u w:val="none"/>
                <w:lang w:val="en-US" w:eastAsia="zh-CN" w:bidi="ar"/>
              </w:rPr>
              <w:t xml:space="preserve">，前后门都可以打开，前门采用隐藏式按压弹簧开关设计，后门采用双开门式设计，只需要一把锁管理。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#5.讲台自带≥23.8英寸电容触摸屏且采用防眩光钢化玻璃面板，厚度≥2mm；支持≥10点触控；支持屏幕手动角度调节，可实现与桌面形成20°至80°角度调节。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#6.屏体侧面具有物理实体快捷按键≥8个，按键功能包括对屏幕一键开/关屏幕.对匹配的多媒体设备（如智慧黑板或一体机）进行一键熄屏以及一键音量加.一键音量减；实现与班级多媒体设备无缝对接。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#7.接口：HDMI IN≥2个，HDMI OUT≥1个，Type-C≥1个，USB≥4个，RJ45≥1个；AUDIO OUT≥1个，RS232≥1个，220V国标五插电源接口≥1个（支持对外供电）。</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#8.屏体侧边内置NFC模块；讲台屏至少支持NFC刷卡.二维码2种方式实现设备使用前的用户身份认证。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#9.讲台屏自带定制化独立操作系统，基于正版系统 11及以上版本，可在任意通道下唤出多功能中控菜单并实现相关操作。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#10.屏幕可调出中控菜单界面，支持一键上课及下课两种场景控制，也可以对连接的设备单独控制开关机；支持对屏幕输入源显示画面切换，包括智能平板.电脑.HDMI.Type-C。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#11.当接入匹配教室内的录播产品时，可显示录播导播流画面，选择开始录制.暂停录制和结束录制等功能；支持当接入匹配教室内的物联产品时，可视化显示物联设备且可进行应用场景化管理。</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AB1-27</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组合桌</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（940+520）×440×780mm；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#2.台面：≥25mm厚；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#3.台身：采用立柱Φ40mm,横杆≥20×20mm的钢管结构，可拼搭自由组合式,全班统筹，可根据教学需进行1桌1人.2桌三人.3桌6人等多种组合变化。</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AB1-28</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座椅</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50*49*82*45cm；材质：实木弯板+铁艺脚；</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AB1-29</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展柜</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750*600*400mm；容纳地貌模型的玻璃展柜。</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top"/>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5"/>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AB1-30</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中国语音立体地形图</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#1.中国立体地形模型外框尺寸:≥27</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0×18</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0 mm,有效地图尺寸：≥25</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0×1700mm,水平比例尺：1：240万,垂直比例尺：1：16.5万,材质：采用≥2mm 厚ABS材质,灯光：LED灯</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#2.控制系统：无线控制</w:t>
            </w:r>
            <w:r>
              <w:rPr>
                <w:rFonts w:hint="eastAsia" w:ascii="宋体" w:hAnsi="宋体" w:cs="宋体"/>
                <w:i w:val="0"/>
                <w:iCs w:val="0"/>
                <w:color w:val="auto"/>
                <w:sz w:val="21"/>
                <w:szCs w:val="21"/>
                <w:u w:val="none"/>
                <w:lang w:val="en-US" w:eastAsia="zh-CN" w:bidi="ar"/>
              </w:rPr>
              <w:t xml:space="preserve">；</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#3.中国地理总体概况我国地理位置、疆域和政区,地形特征和分布;</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中国立体地形模型多媒体联动演示软件:在用户操作指令发送给中国立体地形图之后，实现软硬件的联动演示，软件支持触摸操作。采用多媒体展示方式，对演示项目进行生动详实的介绍。含配套接收信号硬件,多媒体资源支持自主更新替换，软件支持关键字检索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#5.中国地图拼图软件:中国地图细分“省/直辖市地图认知、全国地图拼合、省/直辖市/自治区下辖政区认知”3个模块,在“省/直辖市地图认知”环节，体验者通过把各省/直</w:t>
            </w:r>
            <w:r>
              <w:rPr>
                <w:rFonts w:hint="eastAsia" w:ascii="宋体" w:hAnsi="宋体" w:eastAsia="宋体" w:cs="宋体"/>
                <w:i w:val="0"/>
                <w:iCs w:val="0"/>
                <w:color w:val="auto"/>
                <w:sz w:val="21"/>
                <w:szCs w:val="21"/>
                <w:u w:val="none"/>
                <w:lang w:val="en-US" w:eastAsia="zh-CN" w:bidi="ar"/>
              </w:rPr>
              <w:t xml:space="preserve">辖市/自治区简称、拖到对应的各省/直辖市/自治区的区域地图上，通过体验加强对各省/直辖市/自治区简称和区域地图的双重认知,在“全国地图拼合”环节，体验者把各省/直辖市/自治区的区域图拼合到全国地图里，通过体验加强对各省/直辖市/自治区具体地理位置的认识,在“省/直辖市/自治区下辖政区认知”环节，搜集全国各省下辖地级市、省直辖县，各直辖市下辖区/县的名称，体验者要把这些地级市/区/县的名称在各省/直辖市地图里，拖到对应的位置。通过体验加强对全国各省/直辖市下辖政区的认知,以上拼图环节均设置有计时，可拼图竞赛;</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w:t>
            </w:r>
            <w:r>
              <w:rPr>
                <w:rStyle w:val="966"/>
                <w:rFonts w:hint="eastAsia" w:ascii="宋体" w:hAnsi="宋体" w:eastAsia="宋体" w:cs="宋体"/>
                <w:b/>
                <w:bCs/>
                <w:color w:val="auto"/>
                <w:sz w:val="21"/>
                <w:szCs w:val="21"/>
                <w:lang w:val="en-US" w:eastAsia="zh-CN" w:bidi="ar"/>
              </w:rPr>
              <w:t xml:space="preserve">提供具有CMA认证标识的第三方测试报告原件扫描件</w:t>
            </w:r>
            <w:r>
              <w:rPr>
                <w:rStyle w:val="966"/>
                <w:rFonts w:hint="eastAsia" w:ascii="宋体" w:hAnsi="宋体" w:cs="宋体"/>
                <w:b/>
                <w:bCs/>
                <w:color w:val="auto"/>
                <w:sz w:val="21"/>
                <w:szCs w:val="21"/>
                <w:lang w:val="en-US" w:eastAsia="zh-CN" w:bidi="ar"/>
              </w:rPr>
              <w:t xml:space="preserve">或产品白皮书或官网截图</w:t>
            </w:r>
            <w:r>
              <w:rPr>
                <w:rStyle w:val="966"/>
                <w:rFonts w:hint="eastAsia" w:ascii="宋体" w:hAnsi="宋体" w:eastAsia="宋体" w:cs="宋体"/>
                <w:b/>
                <w:bCs/>
                <w:color w:val="auto"/>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3872"/>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AB1-31</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世界语音立体地形图</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#1.世界立体地形模型,外形尺寸：≥27</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0×18</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0mm,有效地图尺寸：≥24</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0×1550mm,水平比例尺：1：1300万,垂直比例尺：1：39.3万, 材质：采用≥2mm 厚ABS材质,灯光：LED灯。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#2.控制系统：无线控制, 支持汉语</w:t>
            </w:r>
            <w:r>
              <w:rPr>
                <w:rFonts w:hint="eastAsia" w:ascii="宋体" w:hAnsi="宋体" w:cs="宋体"/>
                <w:i w:val="0"/>
                <w:iCs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多种民族语言;</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#3.世界概况总体介绍:</w:t>
            </w:r>
            <w:r>
              <w:rPr>
                <w:rFonts w:hint="eastAsia" w:ascii="宋体" w:hAnsi="宋体" w:cs="宋体"/>
                <w:i w:val="0"/>
                <w:iCs w:val="0"/>
                <w:color w:val="auto"/>
                <w:sz w:val="21"/>
                <w:szCs w:val="21"/>
                <w:u w:val="none"/>
                <w:lang w:val="en-US" w:eastAsia="zh-CN" w:bidi="ar"/>
              </w:rPr>
              <w:t xml:space="preserve">七大洲</w:t>
            </w:r>
            <w:r>
              <w:rPr>
                <w:rFonts w:hint="eastAsia" w:ascii="宋体" w:hAnsi="宋体" w:eastAsia="宋体" w:cs="宋体"/>
                <w:i w:val="0"/>
                <w:iCs w:val="0"/>
                <w:color w:val="auto"/>
                <w:sz w:val="21"/>
                <w:szCs w:val="21"/>
                <w:u w:val="none"/>
                <w:lang w:val="en-US" w:eastAsia="zh-CN" w:bidi="ar"/>
              </w:rPr>
              <w:t xml:space="preserve">：介绍七大洲的地理位置、地形特点、气候特征、国家人口分布、经济概况等;四大洋:介绍四大洋的地理位置、地形特点、气候特征、资源分布、航线港口等;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#4.世界地理详细分述:主要国家首府、首都,世界能源分布,世界十大河流,国际金融中心</w:t>
            </w:r>
            <w:r>
              <w:rPr>
                <w:rFonts w:hint="eastAsia" w:ascii="宋体" w:hAnsi="宋体" w:cs="宋体"/>
                <w:i w:val="0"/>
                <w:iCs w:val="0"/>
                <w:strike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世界立体地形模型多媒体联动演示软件：在用户操作指令发送给世界立体地形图之后，实现软硬件的联动演示，软件支持触摸操作。采用多媒体展示方式。含配套接收信号硬件,通过多媒体资源方式详细演示世界地理七大洲、四大洋、主要国家首府首都、能源、十大河流、金融中心、航空枢纽、港口,多媒体资源支持自主更新替换，软件支持关键字检索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世界地图拼图软件:世界地图细分“六大板块认知、七大洲四大洋认知、世界地图拼合”3个模块,在“六大板块认知”环节，把各板块名称拖到世界地图对应的板块位置，就会在地图上显示这个板块的界线，生长和消亡界线做出了区分，并且在地图上交代了一些重要的山系和海沟</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可拼图竞赛;</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AB1-32</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黄土地貌</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600×400mm,采用pvc材质</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strike w:val="0"/>
                <w:color w:val="auto"/>
                <w:sz w:val="21"/>
                <w:szCs w:val="21"/>
                <w:u w:val="none"/>
                <w:lang w:val="en-US" w:eastAsia="zh-CN" w:bidi="ar"/>
              </w:rPr>
              <w:t xml:space="preserve">包括：冲沟、河谷、黄土梁、黄土茆、川、窑洞及人工改造的平原、梯地（在茆上有同心园梯地）</w:t>
            </w:r>
            <w:r>
              <w:rPr>
                <w:rFonts w:hint="eastAsia" w:ascii="宋体" w:hAnsi="宋体" w:cs="宋体"/>
                <w:i w:val="0"/>
                <w:iCs w:val="0"/>
                <w:strike w:val="0"/>
                <w:color w:val="auto"/>
                <w:sz w:val="21"/>
                <w:szCs w:val="21"/>
                <w:u w:val="none"/>
                <w:lang w:val="en-US" w:eastAsia="zh-CN" w:bidi="ar"/>
              </w:rPr>
              <w:t xml:space="preserve">等</w:t>
            </w:r>
            <w:r>
              <w:rPr>
                <w:rFonts w:hint="eastAsia" w:ascii="宋体" w:hAnsi="宋体" w:eastAsia="宋体" w:cs="宋体"/>
                <w:i w:val="0"/>
                <w:iCs w:val="0"/>
                <w:strike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AB1-33</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喀斯特地貌</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600×400mm,采用pvc</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strike w:val="0"/>
                <w:color w:val="auto"/>
                <w:sz w:val="21"/>
                <w:szCs w:val="21"/>
                <w:u w:val="none"/>
                <w:lang w:val="en-US" w:eastAsia="zh-CN" w:bidi="ar"/>
              </w:rPr>
              <w:t xml:space="preserve">包括：石林、洼地坝子、落水洞、天生桥、峰林、地面河</w:t>
            </w:r>
            <w:r>
              <w:rPr>
                <w:rFonts w:hint="eastAsia" w:ascii="宋体" w:hAnsi="宋体" w:cs="宋体"/>
                <w:i w:val="0"/>
                <w:iCs w:val="0"/>
                <w:strike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AB1-34</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五种地形模型</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600×400mm,采用pvc材质</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strike w:val="0"/>
                <w:color w:val="auto"/>
                <w:sz w:val="21"/>
                <w:szCs w:val="21"/>
                <w:u w:val="none"/>
                <w:lang w:val="en-US" w:eastAsia="zh-CN" w:bidi="ar"/>
              </w:rPr>
              <w:t xml:space="preserve">按合理的水平、垂直比例尺反映高原、山地、平原、丘陵和盆地。</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AB1-35</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地上河模型</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w:t>
            </w:r>
            <w:r>
              <w:rPr>
                <w:rFonts w:hint="eastAsia" w:ascii="宋体" w:hAnsi="宋体" w:cs="宋体"/>
                <w:i w:val="0"/>
                <w:iCs w:val="0"/>
                <w:strike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600×400mm,采用pvc材质</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黄河地上河最主要的特征、平原及地上河、铁路桥、开封铁塔、船只、虹吸管灌溉工程及清淤池、</w:t>
            </w:r>
            <w:r>
              <w:rPr>
                <w:rFonts w:hint="eastAsia" w:ascii="宋体" w:hAnsi="宋体" w:cs="宋体"/>
                <w:i w:val="0"/>
                <w:iCs w:val="0"/>
                <w:color w:val="auto"/>
                <w:sz w:val="21"/>
                <w:szCs w:val="21"/>
                <w:u w:val="none"/>
                <w:lang w:val="en-US" w:eastAsia="zh-CN" w:bidi="ar"/>
              </w:rPr>
              <w:t xml:space="preserve">菏泽</w:t>
            </w:r>
            <w:r>
              <w:rPr>
                <w:rFonts w:hint="eastAsia" w:ascii="宋体" w:hAnsi="宋体" w:eastAsia="宋体" w:cs="宋体"/>
                <w:i w:val="0"/>
                <w:iCs w:val="0"/>
                <w:color w:val="auto"/>
                <w:sz w:val="21"/>
                <w:szCs w:val="21"/>
                <w:u w:val="none"/>
                <w:lang w:val="en-US" w:eastAsia="zh-CN" w:bidi="ar"/>
              </w:rPr>
              <w:t xml:space="preserve">附近的南水北调穿黄河工程。</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AB1-36</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流水地貌模型</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#1.规格:≥600*400mm，包括:上游的“V”形谷地及树枝。状水系，出山口的冲积扇，中游的泛滥平原、牛轭湖、下游的滨海平原、三角洲</w:t>
            </w:r>
            <w:r>
              <w:rPr>
                <w:rFonts w:hint="eastAsia" w:ascii="宋体" w:hAnsi="宋体" w:cs="宋体"/>
                <w:i w:val="0"/>
                <w:iCs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拓展功能：提供配套拓展资源二维码，通过移动终端扫描可浏览与该模型同主题的学习资源，包括：该地貌的基本介绍、成因原理、分布情况、特征、分类说明、与人类经济建设的关系等多方面介绍，图文并茂，并配有视频详细说明。</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AB1-37</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荒漠（风蚀）地貌</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#1.规格：≥600×400mm,采用pvc材质</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风蚀：风蚀城堡，风蚀蘑菇，风蚀洞穴，风蚀洼地，风蚀桂；风积：新月形沙丘，戈壁。</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AB1-38</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板块模型</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#1.规格：≥600×400mm,采用pvc材质</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海底地形、地球内部圈层、地壳结构、地形变化、板块构造学说、火山地震的形成与分布、地球表面海陆轮、廓的形成等内容时使用。</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AB1-39</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等高线模型</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#1.规格：≥600×400mm,采用pvc材质</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山头、鞍部、陡坡、缓坡、山谷线、山脊线、谷、陡崖、三圈等高线闭曲线，并有剖面图。</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AB1-40</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平面地形地球仪</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#1.产品由球体和支架等组成；平面比例尺≥1:40000000。</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AB1-41</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平面政区地球仪</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#1.产品由球体和支架等组成；平面比例尺≥1:40000000。</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AB1-42</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可拆卸经纬网地球仪</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#1.规格：整体直径≥220mm。材质：高分子；教学用途：可拆卸组合，用于学习经纬网。直观呈现不同的纬度和经度。学生通过动手拼装地球仪，辨识经线和纬线。</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AB1-43</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太阳直射点与昼夜长短试验套装</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#1.试验箱规格：外径≥420*320*220mm；试验箱材质：采用PP材质</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珍珠棉内衬，材料环保无毒无味。</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AB1-44</w:t>
            </w:r>
            <w:r/>
          </w:p>
        </w:tc>
        <w:tc>
          <w:tcPr>
            <w:shd w:val="clear" w:color="auto" w:fill="auto"/>
            <w:tcBorders>
              <w:top w:val="single" w:color="000000" w:sz="4" w:space="0"/>
              <w:left w:val="single" w:color="000000" w:sz="4" w:space="0"/>
              <w:bottom w:val="single" w:color="000000" w:sz="4" w:space="0"/>
              <w:right w:val="single" w:color="000000" w:sz="4" w:space="0"/>
            </w:tcBorders>
            <w:tcW w:w="66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环境布置</w:t>
            </w:r>
            <w:r/>
          </w:p>
        </w:tc>
        <w:tc>
          <w:tcPr>
            <w:shd w:val="clear" w:color="auto" w:fill="auto"/>
            <w:tcBorders>
              <w:top w:val="single" w:color="000000" w:sz="4" w:space="0"/>
              <w:left w:val="single" w:color="000000" w:sz="4" w:space="0"/>
              <w:bottom w:val="single" w:color="000000" w:sz="4" w:space="0"/>
              <w:right w:val="single" w:color="000000" w:sz="4" w:space="0"/>
            </w:tcBorders>
            <w:tcW w:w="3201"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#1.地面开槽布线恢复90㎡。墙面文化墙20㎡。制度牌*6，规格90*60cm。顶层采用铝方通吊顶90㎡。</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bl>
    <w:p>
      <w:pPr>
        <w:jc w:val="left"/>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r>
      <w:r/>
    </w:p>
    <w:p>
      <w:pPr>
        <w:jc w:val="left"/>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r>
      <w:r/>
    </w:p>
    <w:p>
      <w:pPr>
        <w:jc w:val="left"/>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r>
      <w:r/>
    </w:p>
    <w:p>
      <w:pPr>
        <w:jc w:val="left"/>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r>
      <w:r/>
    </w:p>
    <w:p>
      <w:pPr>
        <w:jc w:val="left"/>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r>
      <w:r/>
    </w:p>
    <w:p>
      <w:pPr>
        <w:jc w:val="left"/>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r>
      <w:r/>
    </w:p>
    <w:p>
      <w:pPr>
        <w:jc w:val="left"/>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r>
      <w:r/>
    </w:p>
    <w:p>
      <w:pPr>
        <w:jc w:val="left"/>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r>
      <w:r/>
    </w:p>
    <w:tbl>
      <w:tblPr>
        <w:tblStyle w:val="727"/>
        <w:tblW w:w="1028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73"/>
        <w:gridCol w:w="1365"/>
        <w:gridCol w:w="6490"/>
        <w:gridCol w:w="750"/>
        <w:gridCol w:w="710"/>
      </w:tblGrid>
      <w:tr>
        <w:trPr>
          <w:trHeight w:val="567"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102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AC-生物园地</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82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室内育苗工厂</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56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AC1-01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岛式实验桌</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#1.全钢结构≥2400×900×7</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#2.台面参数：采用≥1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.0mm厚实芯双面板台面，具有耐酸碱腐蚀、抗污染、防水、防火特性，台面立面倒角、打磨，各处光滑；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#3.台面化学性能依据GB/T 17657-2022人造板及饰面人造板理化性能试验办法检测，硫酸（98%）、77%硫酸、40</w:t>
            </w:r>
            <w:r>
              <w:rPr>
                <w:rFonts w:hint="eastAsia" w:ascii="宋体" w:hAnsi="宋体" w:eastAsia="宋体" w:cs="宋体"/>
                <w:i w:val="0"/>
                <w:iCs w:val="0"/>
                <w:color w:val="auto"/>
                <w:sz w:val="21"/>
                <w:szCs w:val="21"/>
                <w:u w:val="none"/>
                <w:lang w:val="en-US" w:eastAsia="zh-CN" w:bidi="ar"/>
              </w:rPr>
              <w:t xml:space="preserve">%氢氟酸、硝酸（65%）、四氯化碳、氢氧化钠（40%）、乙基苯、饱和氯化锌等检验结果均为无明显变化，分级结果为“5级”。物理性能依据 GB/T 17657-2022标准及其它相关的标准进行检测，结果为：表面质量等级：5级：无变化，边缘质量等级：5级：无明显变化；表面耐磨性能：未出现磨损；漆膜附着力：六级：切割边缘完全平滑，网格内无脱落；抗霉性能依据JC/T 2039-2010标准进行检测：霉菌生长情况0级，依据GB/T16422.2-2022标准进行试验，检测结果为样品无变色、发粘、裂纹等异常，等级为5级。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#4.台身：采用≥1.0mm镀锌钢板，表面经耐酸碱粉末烤漆处理</w:t>
            </w:r>
            <w:r>
              <w:rPr>
                <w:rFonts w:hint="eastAsia" w:ascii="宋体" w:hAnsi="宋体" w:cs="宋体"/>
                <w:i w:val="0"/>
                <w:iCs w:val="0"/>
                <w:color w:val="auto"/>
                <w:sz w:val="21"/>
                <w:szCs w:val="21"/>
                <w:u w:val="none"/>
                <w:lang w:val="en-US" w:eastAsia="zh-CN" w:bidi="ar"/>
              </w:rPr>
              <w:t xml:space="preserve">；</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#5.固定桌脚：采用柜体内置可调ABS调整脚，保证调整脚前后都可以调节高低。</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AC1-02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学生圆凳</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Φ300*450-500mm，凳面采用环保型ABS改性塑料一次性注塑成型，脚钢架椭圆形无缝钢管焊接完成，经高温粉体烤漆处理；承重不低于100kg；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#2.实验凳外观要求及安全性能（或力学性能）要求检测结果为合格；符合GB/T16422.2-2022《塑料实验室光源暴露试验方法 第2部分：氙弧灯》标准，检测结果：外观无明显变化；</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AC1-03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室内地上配电安装</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#1.配电安装：地上采用铝塑护套管，内穿塑铜线，与家具有效固定。</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室</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AC1-04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室内地上给排水安装</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#1.本项按照单间教室体量测算并施工。给水采用金属软连接与龙头连接，地上每套水嘴设一控制阀门。排水采用PVC管，连接处密封，包含下水等配件;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室</w:t>
            </w:r>
            <w:r/>
          </w:p>
        </w:tc>
      </w:tr>
      <w:tr>
        <w:trPr>
          <w:trHeight w:val="1464"/>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AC1-05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智能化种植一体机1</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产品尺寸：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6</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*6</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*15</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cm；种植层数：3层；材质：食品级PP+PVC+ABS。种植模组通体不含金属零件，线材灯具IP65防水。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 种植机结构: 模块化设计，相同种植模块或不同种植模块可一层至多层灵活组合，可任意增减层数，上下层无固定搭建顺序，各层可取用任意水箱的营养液。设备支持分层独立清洗，各种植层互不影响。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 控制APP：提供多种蔬果、花卉、中草药种植方案，从育苗到采收，手把手指导种植。可远程控制、自动控制、联动控制所有相关物联网设备。可设置多种管理模式，一人可以管理多台设备，一台设备也可由多人管理。可以对设备进行分组，支持三层分组：学校、班级、小组设备。可以自由设置多种联动场景。可实现各项数据和设备状态的异常报警功能。</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 植物生长灯：≥L600mm×（Φ30mm/φ50mm）。定制生长光谱，生长光谱红蓝比例2.0:1-4.0:1，蓝光波峰460nm，红光波峰660nm，连续光谱，无频闪，有效光子密度PPFD≥200umos/m2.s（25cm层间高度）。交流电：220V 。灯具使用环境-10℃-40℃；寿命20000H。防护等级：IP65，防水接线，秒拆安装。</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 灯具控制模块：输入110V-220V 50Hz，输出：110V-230V，负载：10A。可与其他物联网设备联动控制。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 灯座：灯座高度可上下多档调节，每平层有≥5个灯光安装位。植物生长灯照射角度可调节。同根灯管在灯座上支持水平安装、垂直安装两种方式。可根据种植需要提供高低2种不同功率的灯具（低功率灯具在8～18W、高功率灯在20～30W），高低功率可直接在灯光安装位置互换，灯具数量与功率可形成多种组合形式，支持每平层同种光谱下至少20种不同光强组合，便于学生完成光配方对比实验。</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 隐藏式水路，上下水管内置于设备立柱。隐藏式电路，灯具电线内置于设备立柱，电线为防水秒接线。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 物联网智能控制：支持接入多种传感设备，如温度、湿度、光照、CO2、营养液EC、pH、DO等传感器，实时监测相关环境参数。每层补光灯、水循环、潮汐水位设定、摄像头、对流小风扇开启等均可支持主流操作系统的手机APP进行远程控制。提供数据记录和分析功能，支持实验数据的收集、存储和导出，辅助教学和研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9</w:t>
            </w:r>
            <w:r>
              <w:rPr>
                <w:rFonts w:hint="eastAsia" w:ascii="宋体" w:hAnsi="宋体" w:eastAsia="宋体" w:cs="宋体"/>
                <w:i w:val="0"/>
                <w:iCs w:val="0"/>
                <w:color w:val="auto"/>
                <w:sz w:val="21"/>
                <w:szCs w:val="21"/>
                <w:u w:val="none"/>
                <w:lang w:val="en-US" w:eastAsia="zh-CN" w:bidi="ar"/>
              </w:rPr>
              <w:t xml:space="preserve">. 营养液供液模式：采用机械增氧，瀑布式供液，让营养液与空气充分搅拌，含氧量≥6mg/kg。</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 物联网多路灌溉系统：含水泵、物联网水泵控制模块。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水泵：（35±2）*（35±2）*（100±10）mm；额定电压DC12V，额定功率8-12W，出水口规格φ8mm。最大扬程≥4m，最大流量≥400L/h。进水口带过滤棉、静音水泵、缓启动、耐磨</w:t>
            </w:r>
            <w:r>
              <w:rPr>
                <w:rFonts w:hint="eastAsia" w:ascii="宋体" w:hAnsi="宋体" w:cs="宋体"/>
                <w:i w:val="0"/>
                <w:iCs w:val="0"/>
                <w:color w:val="auto"/>
                <w:sz w:val="21"/>
                <w:szCs w:val="21"/>
                <w:u w:val="none"/>
                <w:lang w:val="en-US" w:eastAsia="zh-CN" w:bidi="ar"/>
              </w:rPr>
              <w:t xml:space="preserve">氧化锆</w:t>
            </w:r>
            <w:r>
              <w:rPr>
                <w:rFonts w:hint="eastAsia" w:ascii="宋体" w:hAnsi="宋体" w:eastAsia="宋体" w:cs="宋体"/>
                <w:i w:val="0"/>
                <w:iCs w:val="0"/>
                <w:color w:val="auto"/>
                <w:sz w:val="21"/>
                <w:szCs w:val="21"/>
                <w:u w:val="none"/>
                <w:lang w:val="en-US" w:eastAsia="zh-CN" w:bidi="ar"/>
              </w:rPr>
              <w:t xml:space="preserve">轴承、带减震硅胶套。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多路物联网控制模块：三路控制，实现物联网控制功能，APP控制，可自定义水循环开启模式。</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 可独立控制供液循环，每台设备可提供1-4个水箱（数量根据种植需要选择），可同时支持3种不同营养液循环分层独立供液。</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 一键执行功能:可通过APP设置单层、多层、单台、多台、整个种植间的灯具、水泵、风扇、杀菌灯等所需单个或多个设备的一键开启或关闭。</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 水箱：≥550m*400mm*340m ，由四个相同的等腰直角三角形组成，水箱带滑轮，便于移动。水箱内部带水泵静音卡位，降低噪音。</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6155"/>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AC1-06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智能化种植一体机2</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 产品尺寸：≥6</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*6</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*21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cm；种植层数：1层；材质：食品级PP+PVC+ABS。种植模组通体不含金属零件，线材灯具IP65防水。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 种植机结构: 模块化设计，相同种植模块或不同种植模块可一层至多层灵活组合，可任意增减层数。设备支持分层独立清洗，各种植层互不影响。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 控制APP：提供多种蔬果、花卉、中草药种植方案，从育苗到采收，手把手指导种植。可远程控制、自动控制、联动控制所有相关物联网设备。可设置多种管理模式，一人可以管理多台设备，一台设备也可由多人管理。可以对设备进行分组，支持三层分组：学校、班级、小组设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 可以自由设置多种联动场景。 可实现各项数据和设备状态的异常报警功能，并可自定义报警等级</w:t>
            </w:r>
            <w:r>
              <w:rPr>
                <w:rFonts w:hint="eastAsia" w:ascii="宋体" w:hAnsi="宋体" w:cs="宋体"/>
                <w:i w:val="0"/>
                <w:iCs w:val="0"/>
                <w:color w:val="auto"/>
                <w:sz w:val="21"/>
                <w:szCs w:val="21"/>
                <w:u w:val="none"/>
                <w:lang w:val="en-US" w:eastAsia="zh-CN" w:bidi="ar"/>
              </w:rPr>
              <w:t xml:space="preserve">。</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 植物生长灯：≥L600mm×（Φ30mm/φ50mm）。定制生长光谱，生长光谱红蓝比例2.0:1-4.0:1，蓝光波峰460nm，红光波峰660nm，连续光谱，无频闪，有效光子密度PPFD≥200umos/m2.s（25cm层间高度）。交流电：220V 。灯具使用环境-10℃-40℃；寿命20000H。防护等级：IP65，防水接线，秒拆安装。</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 灯具控制模块：输入110V-220V 50Hz，输出：110V-230V，负载：10A。可与其他物联网设备联动控制。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 灯座：灯座高度可上下多档调节，每平层有≥5个灯光安装位，植物生长灯照射角度可调节。同根灯管在灯座上支持水平安装、垂直安装两种方式。可根据种植需要提供高低2种不同功率的灯具（低功率灯具在8～18W、高功率灯在20～30W），高低功率可直接在灯光安装位置互换，灯具数量与功率可形成多种组合形式，支持每平层同种光谱下至少20种不同光强组合，便于学生完成光配方对比实验。</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 隐藏式水路，上下水管内置于设备立柱。隐藏式电路，灯具电线内置于设备立柱，电线为防水秒接线。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 物联网智能控制：支持接入多种传感设备，如温度、湿度、光照、CO2、营养液EC、pH、DO等传感器，实时监测相关环境参数。每层补光灯、水循环、潮汐水位设定、摄像头、对流小风扇开启等均可支持主流操作系统的手机APP进行远程控制。提供数据记录和分析功能，支持实验数据的收集、存储和导出，辅助教学和研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9</w:t>
            </w:r>
            <w:r>
              <w:rPr>
                <w:rFonts w:hint="eastAsia" w:ascii="宋体" w:hAnsi="宋体" w:eastAsia="宋体" w:cs="宋体"/>
                <w:i w:val="0"/>
                <w:iCs w:val="0"/>
                <w:color w:val="auto"/>
                <w:sz w:val="21"/>
                <w:szCs w:val="21"/>
                <w:u w:val="none"/>
                <w:lang w:val="en-US" w:eastAsia="zh-CN" w:bidi="ar"/>
              </w:rPr>
              <w:t xml:space="preserve">. 营养液供液模式：采用机械增氧，瀑布式供液，让营养液与空气充分搅拌，含氧量≥6mg/kg。</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 物联网多路灌溉系统：含水泵、物联网水泵控制模块。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水泵：（35±2）*（35±2）*（100±10）mm；额定电压DC12V，额定功率8-12W，出水口规格φ8mm。最大扬程≥4m，最大流量≥400L/h。进水口带过滤棉、静音水泵、缓启动、耐磨氧化皓轴承、带减震硅胶套。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多路物联网控制模块：三路控制，实现物联网控制功能，APP控制，可自定义水循环开启模式。</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 可独立控制供液循环，每台设备可提供1-4个水箱（数量根据种植需要选择），可同时支持3种不同营养液循环分层独立供液。</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 一键执行功能:可通过APP设置单层、多层、单台、多台、整个种植间的灯具、水泵、风扇、杀菌灯等所需单个或多个设备的一键开启或关闭。</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 水箱：≥600*400*340mm ，水箱与种植机无接触组合，无水管连接，可直接抽出水箱清洗，无需拆解种植机。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AC1-07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物联网对流风扇套装（通用型）</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#1.用于种植机育苗叶菜模块、种植机果菜模块、种植机攀爬模块等模块微环境循环使用，含风扇、电源线、快接线，装配位置：种植机每层灯座下方。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AC1-08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物联网LED紫外线杀菌灯1</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#1.用于水箱营养液杀菌，含1灯，一分二线、一分三线、控制模块。LED、UVC紫外光灯珠，无汞，低压、IP68防水，安全高效，寿命&gt;5000h。功率：≥5w，电压：12-24v;</w:t>
            </w:r>
            <w:r>
              <w:rPr>
                <w:rFonts w:hint="eastAsia" w:ascii="宋体" w:hAnsi="宋体" w:eastAsia="宋体" w:cs="宋体"/>
                <w:i w:val="0"/>
                <w:iCs w:val="0"/>
                <w:strike/>
                <w:color w:val="auto"/>
                <w:sz w:val="21"/>
                <w:szCs w:val="21"/>
                <w:u w:val="none"/>
                <w:lang w:val="en-US" w:eastAsia="zh-CN" w:bidi="ar"/>
              </w:rPr>
              <w:br/>
            </w:r>
            <w:r>
              <w:rPr>
                <w:rFonts w:hint="eastAsia" w:ascii="宋体" w:hAnsi="宋体" w:eastAsia="宋体" w:cs="宋体"/>
                <w:i w:val="0"/>
                <w:iCs w:val="0"/>
                <w:strike w:val="0"/>
                <w:color w:val="auto"/>
                <w:sz w:val="21"/>
                <w:szCs w:val="21"/>
                <w:u w:val="none"/>
                <w:lang w:val="en-US" w:eastAsia="zh-CN" w:bidi="ar"/>
              </w:rPr>
              <w:t xml:space="preserve">#</w:t>
            </w:r>
            <w:r>
              <w:rPr>
                <w:rFonts w:hint="eastAsia" w:ascii="宋体" w:hAnsi="宋体" w:cs="宋体"/>
                <w:i w:val="0"/>
                <w:iCs w:val="0"/>
                <w:strike w:val="0"/>
                <w:color w:val="auto"/>
                <w:sz w:val="21"/>
                <w:szCs w:val="21"/>
                <w:u w:val="none"/>
                <w:lang w:val="en-US" w:eastAsia="zh-CN" w:bidi="ar"/>
              </w:rPr>
              <w:t xml:space="preserve">2</w:t>
            </w:r>
            <w:r>
              <w:rPr>
                <w:rFonts w:hint="eastAsia" w:ascii="宋体" w:hAnsi="宋体" w:eastAsia="宋体" w:cs="宋体"/>
                <w:i w:val="0"/>
                <w:iCs w:val="0"/>
                <w:strike w:val="0"/>
                <w:color w:val="auto"/>
                <w:sz w:val="21"/>
                <w:szCs w:val="21"/>
                <w:u w:val="none"/>
                <w:lang w:val="en-US" w:eastAsia="zh-CN" w:bidi="ar"/>
              </w:rPr>
              <w:t xml:space="preserve">.波长：UVA395-405nm。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AC1-09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物联网LED紫外线杀菌灯2</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#1.用于水箱营养液杀菌，含3灯，一分二线、一分三线、控制模块。LED、UVC紫外光灯珠，无汞，低压、IP68防水，安全高效，寿命&gt;5000h。功率：≥5w，电压：12-24v;</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.波长：UVA395-405nm。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AC1-10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种植层植株高度标尺（YC）</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#1.用于叶菜种植层植物植株高度测量，防水型。</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AC1-11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种植机电源防水套件（墙/地）</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#1.快接三通、3位防水快接排插（带3USB），输入：220V、10A、50Hz，线径1.5mm2。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AC1-12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物联网RO水制水系统</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#1.活性炭+pp棉+反渗透膜三级过滤（定期更换过滤），出水为RO水（pH=7，EC=0，TDS=0），最大流量60L/H，带物联网自动补水;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#2.AC220V/50</w:t>
            </w:r>
            <w:r>
              <w:rPr>
                <w:rFonts w:hint="eastAsia" w:ascii="宋体" w:hAnsi="宋体" w:cs="宋体"/>
                <w:i w:val="0"/>
                <w:iCs w:val="0"/>
                <w:color w:val="auto"/>
                <w:sz w:val="21"/>
                <w:szCs w:val="21"/>
                <w:u w:val="none"/>
                <w:lang w:val="en-US" w:eastAsia="zh-CN" w:bidi="ar"/>
              </w:rPr>
              <w:t xml:space="preserve">Hz</w:t>
            </w:r>
            <w:r>
              <w:rPr>
                <w:rFonts w:hint="eastAsia" w:ascii="宋体" w:hAnsi="宋体" w:eastAsia="宋体" w:cs="宋体"/>
                <w:i w:val="0"/>
                <w:iCs w:val="0"/>
                <w:color w:val="auto"/>
                <w:sz w:val="21"/>
                <w:szCs w:val="21"/>
                <w:u w:val="none"/>
                <w:lang w:val="en-US" w:eastAsia="zh-CN" w:bidi="ar"/>
              </w:rPr>
              <w:t xml:space="preserve">，4</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w，电源配置：24V4A，进水压力0.1-0.4Mp;</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#3.输入电压：220V50Hz，输出220V，最大负载10A;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#4.控制模块：实现物联网控制功能，APP控制。可以与物联网液位检测仪器联动控制，可以与水泵联动控制，可以单独设置补水计划;</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AC1-13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RO水制水系统过滤耗材补充件</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#1.含备用滤芯（炭+棉）两套，备用RO膜一个。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AC1-14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物联网RO水储水系统（定制）（150L）</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#1.订制,可用来存RO水，也可以当工作液水箱。含定制水箱、溢水保护快接头、内外出水快接头、底部排水口、盖子（打孔）等配件；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#2.150L立式（</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550*450*650mm），含开孔费，改装费。一般要三个，出水，溢水保护、底部排水口。</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AC1-15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物联网RO水灌溉系统（定制）(15米）</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#1.用于RO水灌溉，由储水系统给工作液水箱或其他需使用RO水的情况供水，含大流量水泵、物联网插座、15米食品级硅胶水管、水管阀门，可在APP上操作控制。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AC1-16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底吸式大流量水泵</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#1.24V，扬程4.0m，功率≥20W，流量≥2200L/h，用于种植机工作液水箱排水，移动使用。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AC1-17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物联网网关</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#1.支持有线、</w:t>
            </w:r>
            <w:r>
              <w:rPr>
                <w:rFonts w:hint="eastAsia" w:ascii="宋体" w:hAnsi="宋体" w:cs="宋体"/>
                <w:i w:val="0"/>
                <w:iCs w:val="0"/>
                <w:color w:val="auto"/>
                <w:sz w:val="21"/>
                <w:szCs w:val="21"/>
                <w:u w:val="none"/>
                <w:lang w:val="en-US" w:eastAsia="zh-CN" w:bidi="ar"/>
              </w:rPr>
              <w:t xml:space="preserve">无线连接</w:t>
            </w:r>
            <w:r>
              <w:rPr>
                <w:rFonts w:hint="eastAsia" w:ascii="宋体" w:hAnsi="宋体" w:eastAsia="宋体" w:cs="宋体"/>
                <w:i w:val="0"/>
                <w:iCs w:val="0"/>
                <w:color w:val="auto"/>
                <w:sz w:val="21"/>
                <w:szCs w:val="21"/>
                <w:u w:val="none"/>
                <w:lang w:val="en-US" w:eastAsia="zh-CN" w:bidi="ar"/>
              </w:rPr>
              <w:t xml:space="preserve">，输入5V，可连接128路设备，断网不影响设备间的联动控制。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AC1-18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物联网环境监测模块（温度、湿度、CO</w:t>
            </w:r>
            <w:r>
              <w:rPr>
                <w:rFonts w:hint="eastAsia" w:ascii="宋体" w:hAnsi="宋体" w:eastAsia="宋体" w:cs="宋体"/>
                <w:i w:val="0"/>
                <w:iCs w:val="0"/>
                <w:color w:val="auto"/>
                <w:sz w:val="21"/>
                <w:szCs w:val="21"/>
                <w:u w:val="none"/>
                <w:vertAlign w:val="subscript"/>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10</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cm；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#2.双通道，NDIR红外传感器，LCD数字显示，自动校准，使用温度：0-70℃；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#3.CO2测量范围：0-5000PPM，分辨率：1PPM，精度50PPM±5%；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#4.测量温度范围：0-50℃，分辨率：0.1℃，精度±0.5℃；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#5.湿度：0-99%，分辨率 1%，精度±5%；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#6.电池容量：≥800mAh；输入电压：DC 5v；</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#7.可与其他物联网设备联动控制，数据可按日、月、年方式查看，历史数据支持导出。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AC1-19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壁挂式收纳盒</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#1.双层百叶—木塑板，壁挂式插排插座遮挡置物架。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AC1-20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育苗盘（子母盘）</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#1.用于种子萌发与育苗，食品级PP材质；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AC1-21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种植海绵</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#1.育苗一体化专用。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AC1-22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种植杯</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#1.用于种植孔植物种植。</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AC1-23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种植杯盖</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#1.用于遮盖种植杯。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AC1-24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塑料量杯（5000mL）</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#1.用于营养液的称量配置使用。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AC1-25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塑料量杯（2000mL）</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#1.用于营养液的称量配置使用。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AC1-26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量筒（500ml)</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#1.用于营养液的称量配置使用。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AC1-27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量筒（250ml)</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#1.用于营养液的称量配置使用。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AC1-28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量筒（100ml)</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#1.用于营养液的称量配置使用。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AC1-29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量筒（25ml)</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#1.用于营养液的称量配置使用。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AC1-30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营养液商用装（10L/桶）-叶菜类AB</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#1.叶菜花卉类AB液，10L/桶，2桶/组，适用于叶菜类、花卉类植物的生长。</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AC1-31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营养液商用装（10L/桶）-果菜类AB</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#1.果菜类AB液，10L/桶，2桶/组，适用于果菜类、茄科类植物的生长。</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AC1-32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营养液商用装（10L/桶）-瓜类AB</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#1.瓜类AB，10L/桶，2桶/组，适用于瓜类植物的生长。</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AC1-33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精品优种套装</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含盆栽红番茄50粒、水果黄甜椒20粒、瀑布番茄50粒、水果黄瓜50粒、红苋菜10g、羽衣甘蓝100粒、GCGD-紫叶生菜（丸粒化）500粒、GCGD-奶油生菜（丸粒化）500粒、GCGD-绿叶生菜（丸粒化）500粒、GCGD-罗马生菜（丸粒化）500粒、GCGD-樱桃萝卜50g、JKGD-水果零食甜椒（黄）12粒、JKGD-串收小番茄（红）12粒。</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AC1-34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安装工具包</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#1.含牵引电线安装头、含橡胶榔头一把、扳手一个、mini水平仪一个、led灯堵头10个，电线固定卡中号特大号各一包（每包20个）。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AC1-35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清洗工具包</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#1.迷你拖把一个、清洗刮板一个、刷子大小各一个、抹布1块。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AC1-36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修枝专用剪刀</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#1.用于种植区植物修剪。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AC1-37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播种镊子</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#1.用于播种与幼苗整苗。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AC1-38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五合一多功能检测笔</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#1.功能：TDS.PH.EC.SALT.温度；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#2.量程：TDS 0-9990ppm；EC 0-19990us/cm；PH 0.00-14.00ph；SALT 0.01%-25.00%,0-10000ppm,10.1-200.0ppt；温度0-60℃；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*8*5cm；重量：≥16</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g(配校准液三袋)。</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AC1-39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EC校准液</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#1.EC值标定校正缓冲液，718,50ml。</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AC1-40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PH校准液三瓶</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#1.pH标定校正缓冲液，4.00/6.86/9.18各50ml。</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82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室外种植园地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AC2-01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菠萝塔水培架</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afterAutospacing="0"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#1.采用ABS材料厚度≥2mm无土立体栽培育苗；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#2.一共十层，每层有八个孔位，每层可种植八个植物；</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#3.底部水箱容水量≥30L;内部自带喷水管，接水槽，水泵；</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AC2-02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错层立体水培架</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#1.采用不锈钢材质焊接框架规格：≥400cm*200cm，主材厚度≥2mm；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#2.一共三层，每层有十二个孔位，每层可种植十二个植物；</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#3.底部用膨胀螺丝固定;内部自带喷水管，接水槽，水泵；</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#4.错层立体水培架通过抗老化检测和耐腐蚀性检测，测试结果合格；通过稳定性测试，最大承重≥400KG。</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AC2-03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矩阵立体架</w:t>
            </w:r>
            <w:r/>
          </w:p>
        </w:tc>
        <w:tc>
          <w:tcPr>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#1.采用不锈钢材质焊接框架规格：≥600cm*300cm*120cm主材厚度≥2mm；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#2.一共五层，每层有二十个孔位，每层可种植二十个植物；</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#3.底部用膨胀螺丝固定;内部自带喷水管，接水槽，水泵；</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#4.矩阵立体架通过抗老化检测和耐腐蚀性检测，测试结果合格；通过稳定性测试，最大承重≥600KG。</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bl>
    <w:p>
      <w:pPr>
        <w:jc w:val="left"/>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ectPr>
          <w:footnotePr/>
          <w:endnotePr/>
          <w:type w:val="nextPage"/>
          <w:pgSz w:w="11906" w:h="16838" w:orient="portrait"/>
          <w:pgMar w:top="1440" w:right="1080" w:bottom="1440" w:left="1080" w:header="851" w:footer="992" w:gutter="0"/>
          <w:cols w:num="1" w:sep="0" w:space="425" w:equalWidth="1"/>
          <w:docGrid w:linePitch="360"/>
        </w:sectPr>
        <w:suppressLineNumbers w:val="0"/>
      </w:pPr>
      <w:r>
        <w:rPr>
          <w:rFonts w:hint="eastAsia" w:ascii="宋体" w:hAnsi="宋体" w:eastAsia="宋体" w:cs="宋体"/>
          <w:b/>
          <w:bCs/>
          <w:i w:val="0"/>
          <w:iCs w:val="0"/>
          <w:color w:val="auto"/>
          <w:sz w:val="21"/>
          <w:szCs w:val="21"/>
          <w:u w:val="none"/>
          <w:lang w:val="en-US" w:eastAsia="zh-CN" w:bidi="ar"/>
        </w:rPr>
      </w:r>
      <w:r/>
    </w:p>
    <w:p>
      <w:pPr>
        <w:jc w:val="left"/>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r>
      <w:r/>
    </w:p>
    <w:p>
      <w:pPr>
        <w:jc w:val="left"/>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r>
      <w:r/>
    </w:p>
    <w:tbl>
      <w:tblPr>
        <w:tblStyle w:val="727"/>
        <w:tblW w:w="10305"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73"/>
        <w:gridCol w:w="1365"/>
        <w:gridCol w:w="6460"/>
        <w:gridCol w:w="765"/>
        <w:gridCol w:w="742"/>
      </w:tblGrid>
      <w:tr>
        <w:trPr>
          <w:trHeight w:val="567"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10305"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AD-4K精品录播系统</w:t>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2975"/>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AD1-01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4K录播一体机</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录播主机采用一体化嵌入式硬件设计架构，内置不低于国产化八核处理器、≥8GB内存，≥2T硬盘，主机具有≥6英寸触控液晶屏幕，可显示设备运行状态等信息，可通过触控方式设置设备基础信息。满足录制、直播、点播、互动、导播管理、存储、切换、视音频编码、语音转写、虚拟抠像、行为分析等功能，支持远程互动教学，实现远程互动网络课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#2.视频输入接口：支持≥4路HDBaseT接口，HDBaseT技术实现远距离4K超高清信号无压缩、无延时传输，一根网线即可完成供电、控制、传输，≥4路HDMI接口。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#3.视频输出接口：支持≥4路本地视频输出接口，接口类型为≥2路HDBaseT接口，≥2路HDMI接口。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#4.音频接口：为保证教室内音频采集，支持≥2路本地音频信号采集接口；支持≥3路音频输出接口，其中至少2路输出接口，1路3.5mm输出接口。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#5.支持≥2路100/1000Mbps自适应网口。支持双网卡，支持局域网（网络摄像机等设备的接入）和互联网彼此隔离，独立工作，互不影响。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#6.支持≥2路USB 3.0接口，支持连接鼠标、键盘进行导播控制以及主机连接U盘进行课程视频的录制、下载；支持≥1路TYPE-C接口。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#7.具有≥5路控制口，支持至少4路RS232接口和1路RS485接口，可支持对接第三方中控、物联等可编程软件，实现对设备的管控。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#8.视频编码：支持H.264和H.265两种视频编码协议，实现更高效率和更</w:t>
            </w:r>
            <w:r>
              <w:rPr>
                <w:rFonts w:hint="eastAsia" w:ascii="宋体" w:hAnsi="宋体" w:cs="宋体"/>
                <w:i w:val="0"/>
                <w:iCs w:val="0"/>
                <w:color w:val="auto"/>
                <w:sz w:val="21"/>
                <w:szCs w:val="21"/>
                <w:u w:val="none"/>
                <w:lang w:val="en-US" w:eastAsia="zh-CN" w:bidi="ar"/>
              </w:rPr>
              <w:t xml:space="preserve">高质量</w:t>
            </w:r>
            <w:r>
              <w:rPr>
                <w:rFonts w:hint="eastAsia" w:ascii="宋体" w:hAnsi="宋体" w:eastAsia="宋体" w:cs="宋体"/>
                <w:i w:val="0"/>
                <w:iCs w:val="0"/>
                <w:color w:val="auto"/>
                <w:sz w:val="21"/>
                <w:szCs w:val="21"/>
                <w:u w:val="none"/>
                <w:lang w:val="en-US" w:eastAsia="zh-CN" w:bidi="ar"/>
              </w:rPr>
              <w:t xml:space="preserve">的编码技术，支持4K分辨率（3840*2160）视频的编码和录制。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#9.要求支持IPV4、IPV6链路地址、IPV6外网地址三个网络地址配置，支持启用DHCP自动获取IP地址。</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57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AD1-02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4K高清录播系统</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#1.要求系统支持账号密码登录。录制模式支持电影模式、资源模式两种，能同时支持1路电影模式</w:t>
            </w:r>
            <w:r>
              <w:rPr>
                <w:rFonts w:hint="eastAsia" w:ascii="宋体" w:hAnsi="宋体" w:cs="宋体"/>
                <w:i w:val="0"/>
                <w:iCs w:val="0"/>
                <w:color w:val="auto"/>
                <w:sz w:val="21"/>
                <w:szCs w:val="21"/>
                <w:u w:val="none"/>
                <w:lang w:val="en-US" w:eastAsia="zh-CN" w:bidi="ar"/>
              </w:rPr>
              <w:t xml:space="preserve">和</w:t>
            </w:r>
            <w:r>
              <w:rPr>
                <w:rFonts w:hint="eastAsia" w:ascii="宋体" w:hAnsi="宋体" w:eastAsia="宋体" w:cs="宋体"/>
                <w:i w:val="0"/>
                <w:iCs w:val="0"/>
                <w:color w:val="auto"/>
                <w:sz w:val="21"/>
                <w:szCs w:val="21"/>
                <w:u w:val="none"/>
                <w:lang w:val="en-US" w:eastAsia="zh-CN" w:bidi="ar"/>
              </w:rPr>
              <w:t xml:space="preserve">≥6路资源备份，可同时录制合成画面、教师全景、教师特写、学生全景、学生特写、板书画面、电脑画面；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#2.要求录制格式支持MP4/TS/FLV，录制分辨率支持3840*2160、1920*1080、1280*720、720*480等，支持录制帧率设定，可选择25fps/30fps。码流支持1000-40000kbps可选。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#3.支持实时显示录播主机CPU的使用率，硬盘使用情况，≥6路预监画面；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#4.导播模式支持视频预览、直播输出监视、视频切换等功能，其中鼠标拖动视频切换时支持导播小画面定位跟随；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支持添加字幕，支持包括系统时间在内的不少于九种预设字幕的设置，其中系统时间支持自动校准。可直接通过拖拽实现自定义字幕显示位置。支持设置≥9种字体大小、≥8种字体颜色。系统界面自带虚拟软键盘，无需外接USB键盘，支持多种格式的字幕，可输入中文、英文、数字、特殊符号；</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#6.支持导播模式设置：支持手动、半自动、全自动模式，支持查看软件版本，设备型号，硬件版本，设备编号；</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提供多种画面布局模式，支持视频画面叠加与组合，包括单画面、双分屏画面、三分屏画面、四分屏画面显示，可直接通过鼠标触控拖动通道画面实现多分屏布局显示画面的替换，替换时支持导播小画面定位跟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#8.支持≥4种片头和≥4种片尾的添加，可以设置插入片头片尾的时间，支持jpg、png格式；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#9.台标支持≥4个固定位置，分别为左上、右上、左下、右下，支持手动拖拽移动台标，实现界面任意位置的台标设置。支持设定图片台标，支持jpg、png格式；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#10.支持上滑、下滑、左滑、右滑等多种切换特效，支持自定义选择≥8种特效切换速度；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#11.系统支持摄像机云台控制，可以对摄像机进行变焦、上下左右位置调整以及≥8个预置位的设置，整个过程支持鼠标操作；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#12.系统可以进行音量设置，可以采用鼠标拖动方式控制设备输入输出的音量大小；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#13.系统支持录制倒计时和循环记录功能，在硬盘存储空间为0时，仍可进行录制，将最早录制的视频文件删除，支持录制到U盘。</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#14.所录制的视频文件既可存储在本地硬盘，也支持通过FTP上传至平台，同时支持用户随时通过录播主机点播回放视频，并可使用移动磁盘或硬盘拷贝下载；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#15.系统支持录制单个文件和限时自动分割录制功能，可选择多种自动分割时长；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#16.支持虚拟抠像功能，支持≥5路摄像机信号的虚拟抠像处理，支持手动调整前景、人像大小以及位置，抠像功能支持噪点清除、去黑边、溢色清除、前景强化、边缘平滑、饱和度压缩、黑色加强等功能；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#17.内置微课制作功能，支持不少于前景、人像、背景3层场景叠加，叠加的场景支持虚拟抠像后的人像、PPT、视频、图片等类型。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#18.支持虚拟抠像后合成的画面实现和远端进行音视频互动；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19.不依赖网络、外置设备即可实现行为分析、实时字幕的语音转写和热词提取。内置的行为分析系统，支持对教室人数、举手人数、站立人数、背身人数、趴下人数、低头人数、扭头人数的实时统计，并实时汇总学生的参与度、活跃度和抬头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20.内置互动系统，支持标准SIP和H.323互动协议，支持互动列表，列表中可以显示所有与会者的信息；支持互动画面布局的显示，布局支持单分屏，双分屏，四分屏显示。互动界面支持双流、一键静音、全屏、导播设置等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#21.进入互动系统时可支持查看永久课历史记录，可输入房间号快速加入远程互动，并显示对应的课程信息，包括时长、主讲人、房间名称、房间号、丢包率、网络延时等；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#22.创建房间时支持对主题、主讲人、开始日期、开始时间和结束时间、验证方式的设置，其中验证方式支持公开和加密的选择。</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#23.支持对每个互动房间自动分配短号，可以通过短号直接实现多个设备间的互动，支持房间加密；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AD1-03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智能分析主机</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#1.要求主机采用标准≤19英寸机架式安装，前面板采用单键式极简设计，简约实用；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#2.要求主机采用不大于DC12V安全电压供电，低功耗无风扇设计,工作噪音≤21db(A)。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#3.要求采用嵌入式架构，内置智能芯片，支持AI图像跟踪技术，能够达到5TOPS标准或以上的算力。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#4.集教师跟踪、学生定位、板书定位、学生巡视等导播切换策略于一体；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#5.要求具备≥4路USB接口，支持接入I/O设备，要求具备≥1路HDMI OUT；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#6.要求具备≥1路LAN网络接口，支持网络传输高清视频，对云台摄像机、录播设备的控制采用网络通讯；</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635"/>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AD1-04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图像跟踪系统</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#1.要求支持智能图像分析，结合具体的场景能够实现多个活动过程的跟踪识别，并对现场视频图像进行分析，实现常态化教学下的老师、学生多人跟踪识别；</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#2.可快速设定教学有效区域的，光线、场景完全自适应，无论人的正面和侧面都会被准确识别，并能够通过后台查看到多人识别效果。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#3.要求具备身高自适应功能，无论老师、学生挥手，左右晃动，前后仰俯晃动等都不会被误判；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#4.要求具备较强的抗干扰能力，图像识别系统不受外在环境影响；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#5.要求系统结构设计合理，设置简单，可以实现全自动跟踪识别；支持实时定位；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#6.要求系统支持web界面访问，支持预览视频分析状态，可远程操控图像跟踪系统；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#7.要求系统支持摄像机自动跟踪，摄像机自动定位学生起立和教师移动；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#8.要求系统支持区域聚焦功能，可通过浏览器在监视画面框选出聚焦区域，以该区域作为聚焦参考区域。</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#9.要求系统支持焦距守望功能，可通过浏览器对监视画面设置守望点，可同时设置不少于4个守望点相连实现智能跟踪；</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#10.要求系统具备跟踪拍摄和切换拍摄两种模式，两种模式之间支持一键切换；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.要求支持手势识别功能，可一键开启此功能。教师可以通过手势控制学生摄像机的拍摄。</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.要求系统支持TCP、UDP两种传输协议，可以同时获取≥4路IP视频流进行智能图像分析，可对教师全景、板书全景、学生全景、学生巡视等景位进行设置；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.要求支持两种跟踪模式：伴随式模式、“特写”与“全景”切换跟踪模式；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.具有“模糊防抖”功能，避免人员小幅度活动时引起的摄像机画面抖动现象；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.要求支持学生起立跟踪功能，支持当学生起立时学生特写摄像机跟踪拍摄，支持多个学生起立切换为学生全景拍摄；</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.要求系统支持切换规则定制，可以精确调整切换时间，设置云台速度，速度系数不少于0～99可调；</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.要求系统可设置变焦速度，速度系数不少于1～7可调,实现焦距拉伸时间的调节；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.要求系统可设置跟踪灵敏度，灵敏度系数不少于0～9000可调。 </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AD1-05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跟踪半球</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#1.传感器类型≥1/2.8英寸CMOS；</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#2.像素≥ 200万，最大分辨率≥1920×1080；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 最低照度：0.01Lux(彩色模式);0.001Lux(黑白模式);0Lux(补光灯开启)；最大补光距离：50m（红外）；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 镜头类型：手动变焦；镜头焦距2.8mm~12mm；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 视频压缩标准：H.265；H.264；H.264B；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#6、音频输入：≥1路（RCA头）；音频输出：≥1路（RCA头）；供电方式：DC12V/POE；防护等级：≥IP67。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56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AD1-06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4K超高清摄像机</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#1.采用≥1/2.5 英寸CMOS，≥850万像素，需支持4K(3840×2160)分辨率，兼容1080P、720P等多种分辨率，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#2.镜头:f=4.4mm~52.8mm，F1.8~F2.6，光学变焦≥12倍，数字变焦≥16倍；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#3.需支持水平翻转、垂直翻转，水平视场角：不小于71°~8.2°；垂直视场角：不小于42.7°~4.5°;水平转动范围：不小于±170°，垂直转动范围：不小于-30°~30°；水平转动速度范围：不小于 1.7° ~76°/s，垂直速度范围：不小于0.5° ~ 15°/s；</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#4.支持不少于2D、3D数字降噪，图像信噪比≥55dB；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#5.音频接口：≥1路Line in/Mic in,3.5mm音频接口，需支持 AAC 编码格式，音频采样率≥48KHz；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#6.视频接口：≥1路HDMI out接口；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#7.控制接口：≥1路RS232 in,≥1路RS232 out，≥1路RS485，需支持VISCA/Pelco-D/Pelco-P协议；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#8.网络接口：≥1路RJ45，10M/100M/1000M自适应口，支持POE；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#9.至少支持TCP/IP、HTTP、RTSP、RTMP/RTMPS、Onvif、DHCP、组播等网络协议等；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#10.视频制式需支持50Hz/60Hz，编码等级可设置main profile/high profile，视频编码协议至少支持 H.264/H.265/MJPEG等；帧率支持1~30fps；</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#11.需支持≥1路HDbaseT，需集视频、音频、控制及供电一线传输，支持传输4K视频，传输距离至少100 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#12.至少支持HDMI、网络、HDBaseT等输出方式，实现4K视频的同步输出。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#13.摄像机配合录播主机可支持人物动作分析，至少识别举手、站立、背身、趴下、低头、扭头等人物动作分析。</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AD1-07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指向性话筒</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#1.换能原理：电容式 ；声学类型：压强压差组合 ；指向性：心型单方向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#2.灵敏度：-38dB±3dB 1v/pa 1Khz 2V/2.2KΩ ；频率响应：20—18000</w:t>
            </w:r>
            <w:r>
              <w:rPr>
                <w:rFonts w:hint="eastAsia" w:ascii="宋体" w:hAnsi="宋体" w:cs="宋体"/>
                <w:i w:val="0"/>
                <w:iCs w:val="0"/>
                <w:color w:val="auto"/>
                <w:sz w:val="21"/>
                <w:szCs w:val="21"/>
                <w:u w:val="none"/>
                <w:lang w:val="en-US" w:eastAsia="zh-CN" w:bidi="ar"/>
              </w:rPr>
              <w:t xml:space="preserve">Hz</w:t>
            </w: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#3.最大声压级：≥120 dB(谐波失真不超过1%) ；工作电压：≤48V 。</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56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AD1-08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数字音频矩阵</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#1.信号处理：要求主机采用≥4核高速DSP处理芯片，64bit处理内核，主频≥1GHz，信号处理延时≦8ms；支持48KHz采样率；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#2.音频输入/输出：≥16路音频通道输入，≥16路音频通道输出；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#3.麦克风输入：≥8路48V幻象供电的麦克风输入，幻象供电可软件开关；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#4.模拟音频输入：≥6路差分信号输入；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#5.模拟音频输出：≥10路差分信号输出；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#6.增益调节：支持麦克风ADC增益0到35dB可调；支持DAC输出增益0到127等级可调；支持噪声抑制有0到18等级可调，混响抑制0到4级可调，扩声还原度0到10级可调；</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#7.回声消除（AEC）：回音消除尾音长度：≥512ms，回声消除幅度：≥60dB, AEC有≥16等级可调，AEC延迟值4-255ms；</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#8.反馈抑制（AFC）：反馈抑制效果器支持控制开关，并且支持≥16段自适应频率滤波器；反馈抑制频率可手动调整；反馈抑制效果器可有效提升传声增益幅度：≥15dB；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#9.自动增益控制（AGC）：增益控制幅度-24dB到24dB可调，并可开关自动增益控制功能；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#10.AI智能降噪（ANS）：内置AI智能降噪算法，有效降低和滤除教室内常见稳态噪声，同时还可有效降低和滤除教室内瞬态噪声，最大噪声抑制幅度≥36dB；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#11.设备调音：主机软件可根据现场需求，分别支持反馈抑制调音、手持麦扩声调音和AEC调音功能；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一键调音：设备机身和调试软件均支持一键AI自适应声场调音。调音时，主机操作音箱自行发出调试声音，并在参数调试完成后自行结束调试。调试后，观察主机软件，可正确显示房间内吊麦及音箱数量，并明确显示调音成功或调音失败。</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AD1-09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#1.一拖二U段无线麦克风，至少一手持一腰包麦克。</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98"/>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AD1-10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功放</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#1.支持≥2组音源输入，≥2路话筒输入，支持≥1组前置录音输出及A、B组功率输出；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#2.设备应具有设置反馈、混响功能，支持独立调节话筒、线路的音量；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#3.应具有话筒中控接口，话筒接口需支持6V幻像直流电源；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#4.额定功率：不低于2×60W/8Ω 立体声；频率响应：不低于20Hz-20KHz +1/-3dB ；失真度：≤0.5%；信噪比（话筒关闭、音调平直）：≥80dB；额定电源电压：交流220V /50Hz。</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AD1-11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#1.额定/峰值功率：≥60W/120W；额定阻抗：≥8Ω；特性灵敏度：≥88dB /w/m ；连续声压级：≥113dB；最大声压级：≥120dB。</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43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AD1-12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智慧讲桌</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#1.讲桌需采用≥1.2mm冷轧钢板桌体，具备防火特性，正面中部受到冲击力时不会倾倒；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#2.桌面需采用抗倍特板材质，具备防水、耐撞击性、耐磨、防火、耐烟灼、防静电，稳定性强、平整又不易变形、无毒无害、绿色环保等特性；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#3.讲桌尺寸：长度≥1200mm、宽度≥650mm、高度≥1020mm，根据人体力学设计，讲台桌面高度合适老师放置教学用品，兼顾站立教学或者坐着操作电脑；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#4.桌面内置≥23英寸电容触控屏，并支持至少10点同时触摸；</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#5.电容触控屏具备单独的开关按键，显示屏接口类型为VGA，HDMI，屏幕分辨率支持≥1920×1080像素，屏幕融合在讲台中，无突出边角，无法在没有工具的情况下拆除；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#6.电容触控屏支持同步显示并能操控交互智能平板的画面，与桌面呈至少25°角，以最佳视角显示教学内容，教师正面授课，录像效果好，提高教学效率；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#7.讲桌桌面内置弹射式接口面板，支持≥1个HDMI接口、≥1个VGA接口、≥1个USB口、≥1个网络接口、≥1个音频接口等，不使用时，可按下与桌面平齐，避免受到撞击，支持笔记本电脑接入；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#8.支持外接PC电脑，可以将PC电脑内容显示在主屏上，支持≥1路HDMI OUT输出，可外接投影、显示器等多媒体设备；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#9.讲桌柜体左侧预留电脑主机观察窗口，无需打开柜体的情况下也能正常开关电脑主机；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#10.讲台具有≥2个220V五口电源接口；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#11.讲桌需具有键盘抽屉，可放置黑板擦、书写笔、键盘和鼠标等，抽屉内预留≥4路USB快速充电接口；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#12.柜体下方设置设备安装机柜，高度≥10U；</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#13.要求柜体下方预留多处散热孔，可以有效保证讲桌内设备的热量及时散出；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#14.要求讲桌支持安装地脚，选配增高底座，预留增高底座安装孔位。</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AD1-13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学生课桌</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长1500*宽750*高800mm；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#2.桌面材料:≥25mm高密复合材料，具有、防油、防水、防腐蚀性能；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#3.桌架材料：桌架均采用≥1.</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mm冷轧钢焊接而成，加宽桌腿≥80*40mm,表面喷塑具有防锈、防水等；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#4.抽屉材料：抽屉面板双层≥1.0mm，其余均为正≥1.0mm裸板，喷塑后≥1.2mm，表面经过打磨、磷化、喷塑、高温烘烤而成。</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AD1-14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学生课椅</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#1.尺寸：约8</w:t>
            </w:r>
            <w:r>
              <w:rPr>
                <w:rFonts w:hint="eastAsia" w:ascii="宋体" w:hAnsi="宋体" w:cs="宋体"/>
                <w:i w:val="0"/>
                <w:iCs w:val="0"/>
                <w:color w:val="auto"/>
                <w:sz w:val="21"/>
                <w:szCs w:val="21"/>
                <w:u w:val="none"/>
                <w:lang w:val="en-US" w:eastAsia="zh-CN" w:bidi="ar"/>
              </w:rPr>
              <w:t xml:space="preserve">5mm</w:t>
            </w:r>
            <w:r>
              <w:rPr>
                <w:rFonts w:hint="eastAsia" w:ascii="宋体" w:hAnsi="宋体" w:eastAsia="宋体" w:cs="宋体"/>
                <w:i w:val="0"/>
                <w:iCs w:val="0"/>
                <w:color w:val="auto"/>
                <w:sz w:val="21"/>
                <w:szCs w:val="21"/>
                <w:u w:val="none"/>
                <w:lang w:val="en-US" w:eastAsia="zh-CN" w:bidi="ar"/>
              </w:rPr>
              <w:t xml:space="preserve">*6</w:t>
            </w:r>
            <w:r>
              <w:rPr>
                <w:rFonts w:hint="eastAsia" w:ascii="宋体" w:hAnsi="宋体" w:cs="宋体"/>
                <w:i w:val="0"/>
                <w:iCs w:val="0"/>
                <w:color w:val="auto"/>
                <w:sz w:val="21"/>
                <w:szCs w:val="21"/>
                <w:u w:val="none"/>
                <w:lang w:val="en-US" w:eastAsia="zh-CN" w:bidi="ar"/>
              </w:rPr>
              <w:t xml:space="preserve">0mm</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45mm</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#2.椅背：采用尼龙透气网背；</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#3.座垫：采用高密度、慢回弹的阻燃</w:t>
            </w:r>
            <w:r>
              <w:rPr>
                <w:rFonts w:hint="eastAsia" w:ascii="宋体" w:hAnsi="宋体" w:cs="宋体"/>
                <w:i w:val="0"/>
                <w:iCs w:val="0"/>
                <w:color w:val="auto"/>
                <w:sz w:val="21"/>
                <w:szCs w:val="21"/>
                <w:u w:val="none"/>
                <w:lang w:val="en-US" w:eastAsia="zh-CN" w:bidi="ar"/>
              </w:rPr>
              <w:t xml:space="preserve">海绵</w:t>
            </w:r>
            <w:r>
              <w:rPr>
                <w:rFonts w:hint="eastAsia" w:ascii="宋体" w:hAnsi="宋体" w:eastAsia="宋体" w:cs="宋体"/>
                <w:i w:val="0"/>
                <w:iCs w:val="0"/>
                <w:color w:val="auto"/>
                <w:sz w:val="21"/>
                <w:szCs w:val="21"/>
                <w:u w:val="none"/>
                <w:lang w:val="en-US" w:eastAsia="zh-CN" w:bidi="ar"/>
              </w:rPr>
              <w:t xml:space="preserve">，燃烧性能HF-1级，拉伸强度≥100KPa,表观密度≥35kg/m³，回弹率≥55%，撕裂强度≥2.5N/cm；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#4.椅面：采用不助燃布料；</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#5.塑料背框：采用PP</w:t>
            </w:r>
            <w:r>
              <w:rPr>
                <w:rFonts w:hint="eastAsia" w:ascii="宋体" w:hAnsi="宋体" w:cs="宋体"/>
                <w:i w:val="0"/>
                <w:iCs w:val="0"/>
                <w:color w:val="auto"/>
                <w:sz w:val="21"/>
                <w:szCs w:val="21"/>
                <w:u w:val="none"/>
                <w:lang w:val="en-US" w:eastAsia="zh-CN" w:bidi="ar"/>
              </w:rPr>
              <w:t xml:space="preserve">塑料膜</w:t>
            </w:r>
            <w:r>
              <w:rPr>
                <w:rFonts w:hint="eastAsia" w:ascii="宋体" w:hAnsi="宋体" w:eastAsia="宋体" w:cs="宋体"/>
                <w:i w:val="0"/>
                <w:iCs w:val="0"/>
                <w:color w:val="auto"/>
                <w:sz w:val="21"/>
                <w:szCs w:val="21"/>
                <w:u w:val="none"/>
                <w:lang w:val="en-US" w:eastAsia="zh-CN" w:bidi="ar"/>
              </w:rPr>
              <w:t xml:space="preserve">出样，环保，不易脆裂。</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把</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AD1-15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智能中控屏</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#1.采用≥10</w:t>
            </w:r>
            <w:r>
              <w:rPr>
                <w:rFonts w:hint="eastAsia" w:ascii="宋体" w:hAnsi="宋体" w:cs="宋体"/>
                <w:i w:val="0"/>
                <w:iCs w:val="0"/>
                <w:color w:val="auto"/>
                <w:sz w:val="21"/>
                <w:szCs w:val="21"/>
                <w:u w:val="none"/>
                <w:lang w:val="en-US" w:eastAsia="zh-CN" w:bidi="ar"/>
              </w:rPr>
              <w:t xml:space="preserve">寸</w:t>
            </w:r>
            <w:r>
              <w:rPr>
                <w:rFonts w:hint="eastAsia" w:ascii="宋体" w:hAnsi="宋体" w:eastAsia="宋体" w:cs="宋体"/>
                <w:i w:val="0"/>
                <w:iCs w:val="0"/>
                <w:color w:val="auto"/>
                <w:sz w:val="21"/>
                <w:szCs w:val="21"/>
                <w:u w:val="none"/>
                <w:lang w:val="en-US" w:eastAsia="zh-CN" w:bidi="ar"/>
              </w:rPr>
              <w:t xml:space="preserve">触控屏幕，分辨率不低于1920×1080；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#2.不少于1个RS-232接口，1个USB接口，1个网络接口，1个HDMI接口；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#3.需支持控制录播系统，至少包括录制、暂停、停止、开启互动等功能。</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gridSpan w:val="5"/>
            <w:shd w:val="clear" w:color="auto" w:fill="auto"/>
            <w:tcBorders>
              <w:top w:val="single" w:color="000000" w:sz="4" w:space="0"/>
              <w:left w:val="single" w:color="000000" w:sz="4" w:space="0"/>
              <w:bottom w:val="single" w:color="000000" w:sz="4" w:space="0"/>
              <w:right w:val="single" w:color="000000" w:sz="4" w:space="0"/>
            </w:tcBorders>
            <w:tcW w:w="10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观摩间</w:t>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AD2-01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导播键盘</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#1.设备需支持网络控制方式，具有独立的IP地址；</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#2.需采用变速四维摇杆进行控制，扭动摇杆可控制云台摄像机转动，镜头变焦放大缩小；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#3.预置位要求对应录播设备的预置位功能，可调用录播设备的预置位，也可通过键盘设置预置位，先点击预置按钮，</w:t>
            </w:r>
            <w:r>
              <w:rPr>
                <w:rFonts w:hint="eastAsia" w:ascii="宋体" w:hAnsi="宋体" w:cs="宋体"/>
                <w:i w:val="0"/>
                <w:iCs w:val="0"/>
                <w:color w:val="auto"/>
                <w:sz w:val="21"/>
                <w:szCs w:val="21"/>
                <w:u w:val="none"/>
                <w:lang w:val="en-US" w:eastAsia="zh-CN" w:bidi="ar"/>
              </w:rPr>
              <w:t xml:space="preserve">再</w:t>
            </w:r>
            <w:r>
              <w:rPr>
                <w:rFonts w:hint="eastAsia" w:ascii="宋体" w:hAnsi="宋体" w:eastAsia="宋体" w:cs="宋体"/>
                <w:i w:val="0"/>
                <w:iCs w:val="0"/>
                <w:color w:val="auto"/>
                <w:sz w:val="21"/>
                <w:szCs w:val="21"/>
                <w:u w:val="none"/>
                <w:lang w:val="en-US" w:eastAsia="zh-CN" w:bidi="ar"/>
              </w:rPr>
              <w:t xml:space="preserve">通过右上角摇杆，选择合适的画面，</w:t>
            </w:r>
            <w:r>
              <w:rPr>
                <w:rFonts w:hint="eastAsia" w:ascii="宋体" w:hAnsi="宋体" w:cs="宋体"/>
                <w:i w:val="0"/>
                <w:iCs w:val="0"/>
                <w:color w:val="auto"/>
                <w:sz w:val="21"/>
                <w:szCs w:val="21"/>
                <w:u w:val="none"/>
                <w:lang w:val="en-US" w:eastAsia="zh-CN" w:bidi="ar"/>
              </w:rPr>
              <w:t xml:space="preserve">再</w:t>
            </w:r>
            <w:r>
              <w:rPr>
                <w:rFonts w:hint="eastAsia" w:ascii="宋体" w:hAnsi="宋体" w:eastAsia="宋体" w:cs="宋体"/>
                <w:i w:val="0"/>
                <w:iCs w:val="0"/>
                <w:color w:val="auto"/>
                <w:sz w:val="21"/>
                <w:szCs w:val="21"/>
                <w:u w:val="none"/>
                <w:lang w:val="en-US" w:eastAsia="zh-CN" w:bidi="ar"/>
              </w:rPr>
              <w:t xml:space="preserve">点击预置位数字即可设置成功；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#4.需采用自主设计的旋钮功能，具有无极调速功能，可实现云台速度、变倍速度调节；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#5.需支持IE浏览器添加前端设备；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#6.需支持添加至少6路摄像机ip\端口号；</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#7.预置位按键≥9，每路摄像机至少添加9个预置位。</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AD2-02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声纹识别反馈抑制器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#1.输入阻抗20KΩ，输出阻抗100Ω；输入范围：＋6dB-180dB；最大功耗：≤50 VA。</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AD2-03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时序电源控制器</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#1.整机最大电流：≥15A；单路最大电流：≥13A；继电器最大电流：≥30A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#2.输出路数：≥8路受控，2路直通；USB输出：不小于5V1A；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#3.显示方式：≥2.4吋显示屏；通讯方式：支持RS232、网口；级联数：≥255台；</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924"/>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AD2-04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资源管理平台应用系统</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#1.平台支持多级部署应用，既可以部署于区域信息中心也可以部署于学校机房。以满足区域教育资源的共建共享和校本资源建设与管理。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#2.采用B/S架构设计，支持IE、360等主流浏览器访问，方便用户进行使用管理。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#3.首页以模块的方式展示：新闻公告、直播活动、课程资源、教研活动等子模块，支持通过跳转入口快速进入相关功能模块；支持后台配置相应模块的开启或关闭，支持自定义平台名称、平台LOGO。</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#4.首页具有快速导航栏，方便用户快速跳转至相关功能模块，支持自定义导航栏名称、顺序等，支持创建二级导航菜单。</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#5.公告发布与管理：首页新闻公告栏可直观展示学校通知、直播活动、行政公告、教育新闻等信息，通过滚动播报的方式支持预编辑公告内容和定时发送功能，支持自定义公告类型，支持标题检索。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#6.用户管理：平台支持通过手机号、微信扫码进行注册，注册完成后可以通过账号密码、微信扫码和手机验证码等方式进行登录。支持根据不同的角色分配相应权限。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#7.设备管理：支持把录播设备接入平台，实现自动转码、视频存储，并具备直播和点播功能。支持录播设备管理功能，可远程预览录播画面、设备信息查看、设备状态监测、数量统计等。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#8.自动转码功能：支持视频下载、上传、编辑、管理。可实现所有主流视频文件格式自动转码，包括asf、mpg、rmvb、mov、rm、avi、3gp、wmv、flv、mp4等，可设置下载及观看权限。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#9.后台管理：支持查看存储空间使用情况，支持课程永久权限开启/关闭，支持个性化设置脚链。</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.强制播放：支持强制设置播放源，用户点击任意视频均强制播放指定视频源，便于学校进行统一播放和管理。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.支持个人信息查看，在线修改密码，上传个性化头像。</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115"/>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AD2-05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督导巡课平台应用系统</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numPr>
                <w:ilvl w:val="0"/>
                <w:numId w:val="4"/>
              </w:num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基础功能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#1.系统架构：无需安装客户端，支持IE、360等主流浏览器直接访问使用。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#2.用户管理：支持通过账号密码、微信扫码和手机验证码等方式进行登录，支持查看用户督导/巡课权限，支持重置用户账号密码。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#3.角色管理：支持对所有账号细分化管控，至少支持校外专家、校级督导员、学院督导员、教师等身份访问，同时支持编辑不同角色督导员的巡课范围及相应功能权限。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督导组管理：支持对督导组的建设和管理，方便学校开展教学督导工作，可根据督导需要自由分配督导组长、督导员等；支持对用户（督导员）分群组、分配组内成员的实时巡课权限、督导院系权限用以开展巡课督导。</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#5.评价模板：支持根据课程需求，自定义督导评课指标，</w:t>
            </w:r>
            <w:r>
              <w:rPr>
                <w:rFonts w:hint="eastAsia" w:ascii="宋体" w:hAnsi="宋体" w:cs="宋体"/>
                <w:i w:val="0"/>
                <w:iCs w:val="0"/>
                <w:color w:val="auto"/>
                <w:sz w:val="21"/>
                <w:szCs w:val="21"/>
                <w:u w:val="none"/>
                <w:lang w:val="en-US" w:eastAsia="zh-CN" w:bidi="ar"/>
              </w:rPr>
              <w:t xml:space="preserve">至少</w:t>
            </w:r>
            <w:r>
              <w:rPr>
                <w:rFonts w:hint="eastAsia" w:ascii="宋体" w:hAnsi="宋体" w:eastAsia="宋体" w:cs="宋体"/>
                <w:i w:val="0"/>
                <w:iCs w:val="0"/>
                <w:color w:val="auto"/>
                <w:sz w:val="21"/>
                <w:szCs w:val="21"/>
                <w:u w:val="none"/>
                <w:lang w:val="en-US" w:eastAsia="zh-CN" w:bidi="ar"/>
              </w:rPr>
              <w:t xml:space="preserve">包括教学内容、教学方法、教学态度、教学效果等，并应用至巡课督导环节中；支持多种类型的评价方式（至少包括单选、多选、打分、打星、文字输入等）；支持管理员设置多套督导评课模板，并将不同评课模板赋予不同督导员群组，以开展针对性督导评价；支持多名督导员用同一评课模板对同一名教师开展督导评价、打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#6.督导计划：支持管理员发布督导计划任务，以列表等形式展示各任务的名称、督导人员、发布时间和督导任务的整体进度等，可以直观地呈现出督导任务的相关信息和完成进度。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#7.督导申诉反馈：被评教师可对评价结果进行申诉，相应督导员收到申诉信息后可重新进行评价。</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#8.支持按学科指派、按教师指派听评课任务，纳入督导的评课计划，支持督导员自由听课。</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#9.实时巡课：支持督导员实时观看教室内的教学过程，进行巡课督导，提供包含但不限于教室巡课、班级巡课、督导组巡课等多种实时巡课模式。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#10.自动</w:t>
            </w:r>
            <w:r>
              <w:rPr>
                <w:rFonts w:hint="eastAsia" w:ascii="宋体" w:hAnsi="宋体" w:cs="宋体"/>
                <w:i w:val="0"/>
                <w:iCs w:val="0"/>
                <w:color w:val="auto"/>
                <w:sz w:val="21"/>
                <w:szCs w:val="21"/>
                <w:u w:val="none"/>
                <w:lang w:val="en-US" w:eastAsia="zh-CN" w:bidi="ar"/>
              </w:rPr>
              <w:t xml:space="preserve">轮播</w:t>
            </w:r>
            <w:r>
              <w:rPr>
                <w:rFonts w:hint="eastAsia" w:ascii="宋体" w:hAnsi="宋体" w:eastAsia="宋体" w:cs="宋体"/>
                <w:i w:val="0"/>
                <w:iCs w:val="0"/>
                <w:color w:val="auto"/>
                <w:sz w:val="21"/>
                <w:szCs w:val="21"/>
                <w:u w:val="none"/>
                <w:lang w:val="en-US" w:eastAsia="zh-CN" w:bidi="ar"/>
              </w:rPr>
              <w:t xml:space="preserve">：支持自动轮播教室画面内容，支持自定义轮播频率。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#11.多画面巡课：巡课时支持至少3种类型的画面分屏模式，用户可自主</w:t>
            </w:r>
            <w:r>
              <w:rPr>
                <w:rFonts w:hint="eastAsia" w:ascii="宋体" w:hAnsi="宋体" w:cs="宋体"/>
                <w:i w:val="0"/>
                <w:iCs w:val="0"/>
                <w:color w:val="auto"/>
                <w:sz w:val="21"/>
                <w:szCs w:val="21"/>
                <w:u w:val="none"/>
                <w:lang w:val="en-US" w:eastAsia="zh-CN" w:bidi="ar"/>
              </w:rPr>
              <w:t xml:space="preserve">选择</w:t>
            </w:r>
            <w:r>
              <w:rPr>
                <w:rFonts w:hint="eastAsia" w:ascii="宋体" w:hAnsi="宋体" w:eastAsia="宋体" w:cs="宋体"/>
                <w:i w:val="0"/>
                <w:iCs w:val="0"/>
                <w:color w:val="auto"/>
                <w:sz w:val="21"/>
                <w:szCs w:val="21"/>
                <w:u w:val="none"/>
                <w:lang w:val="en-US" w:eastAsia="zh-CN" w:bidi="ar"/>
              </w:rPr>
              <w:t xml:space="preserve">1分屏、4分屏、9分屏、16分屏查看教室内的教师画面、学生画面、电脑画面、板书画面等；支持通过鼠标拖动切换主画面；支持进入全屏模式；支持点击教室画面快速跳转至巡课详情界面。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#12.教室巡课：支持通过校区、教学楼的教室分布进行巡课。</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#13.班级巡课：支持通过年级-班级课表中的全部学科进行巡课。</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#14.督导组巡课：支持通过全校已创建的督导组进行巡课，可清晰查看每个督导组巡课情况</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#15.课后巡课：支持督导员针对已录制的课程进行巡课督导，可通过学科进行筛选或进行关键字检索快速定位课程，督导员还可根据学科名称、上课时间、授课教师、班级、评价状态等信息进行有选择的督导。</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#16.课堂信息：支持督导员在进行巡课督导时获取课程信息，包含但不限于学科、班级、授课教师、上课时间等信息。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#17.评课计划：支持按上课中/待上课/已下课显示督导计划中指定的听评课任务或在自由听课中加入评课计划的学科或教师在课表中邀请听课的学科，可根据上课时间开始评课或移出计划。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#18.自由听课：支持根据督导组权限范围自由选择所督导院系内的学科进行听评课，可根据上课时间选择加入计划或开始评课或移出计划。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#19.邀请我听：支持教师邀请听课，被邀请人可同意或拒绝，同意后该课节自动加入被邀请教师的评课计划中。</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#20.临时评课：支持临时活动录制</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#21.督导评价：提供对整个教学过程的督导评价。</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#22.评课记录：支持对督导员的督导评课记录进行自动归档，支持按学期筛选或进行关键字检索。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#23.评课报告：系统支持自动对督导员的督导评价进行统计分析，并生成对应的课堂教学督导报告。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#24.巡视记录：支持查看用户巡视教室、巡视时间、巡视时长。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#25.教案管理：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（1）支持教师按课表对教案资料的上传、修改、删除工作。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（2）教案统计：支持对系统中教师的教案资料进行统计功能。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（3）支持管理人员查询各个教师的教案情况，并给相应的评价，同时对教案栏目分类、修改、删除。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（4）支持对教案的上传时效、修改时效、存储时效进行统一配置。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（5）支持对每个教案进行等级评定。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（6）支持实时督导时对教案进行预览、等级评定等功能。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（7）支持教案集中管理功能，支持教案分类管理、查询、调阅，并支持PPT、PDF、Excel、Word等多种文档格式管理。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#26.数据统计：支持课堂评价统计，支持生成课堂报告；支持敏感话题课堂统计</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二、AI分析设置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#1.兼容对接：配套AI分析终端，实现视频数据分析；同时支持与视频资源管理平台无缝对接，可将数据通过平台进行分析结果数据展示。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#2.多维分析：支持多维度课堂分析数据。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#3.支持AI督导预警、提供对课程和教师的督导预警分析，可设置一般预警、中度预警、严重预警，可在实时巡课页面进行查看。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#4.展示模型：支持以秒为颗粒度对教师讲授、师生互动、指导学生、教师提问、书写板书等教学行为进行基于AI功能的全自动伴随式分析。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#5.课堂分析：支持以创新型、评价型、分析型、应用型、理解型、记忆型、非思维等类型问题对课堂问题进行AI数据统计，可自动统计课堂中的问题类型和数量。</w:t>
            </w:r>
            <w:r/>
          </w:p>
          <w:p>
            <w:pPr>
              <w:numPr>
                <w:ilvl w:val="0"/>
                <w:numId w:val="0"/>
              </w:numPr>
              <w:jc w:val="left"/>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#6.课堂报告：支持通过AI分析自动生成课堂报告。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三、课堂教情分析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内容包括：</w:t>
            </w:r>
            <w:r>
              <w:rPr>
                <w:rFonts w:hint="eastAsia" w:ascii="宋体" w:hAnsi="宋体" w:eastAsia="宋体" w:cs="宋体"/>
                <w:i w:val="0"/>
                <w:iCs w:val="0"/>
                <w:color w:val="auto"/>
                <w:sz w:val="21"/>
                <w:szCs w:val="21"/>
                <w:u w:val="none"/>
                <w:lang w:val="en-US" w:eastAsia="zh-CN" w:bidi="ar"/>
              </w:rPr>
              <w:t xml:space="preserve">教学行为分析</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支持教学行为分析</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师生问答分析</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.教师可查看每节课的课堂实录，可根据不同的教学行为时序进行智能打点切片，可自动定位到课堂实录的特定时刻，方便进行快速回顾教学环节。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四、课堂学生分析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内容包括：</w:t>
            </w:r>
            <w:r>
              <w:rPr>
                <w:rFonts w:hint="eastAsia" w:ascii="宋体" w:hAnsi="宋体" w:eastAsia="宋体" w:cs="宋体"/>
                <w:i w:val="0"/>
                <w:iCs w:val="0"/>
                <w:color w:val="auto"/>
                <w:sz w:val="21"/>
                <w:szCs w:val="21"/>
                <w:u w:val="none"/>
                <w:lang w:val="en-US" w:eastAsia="zh-CN" w:bidi="ar"/>
              </w:rPr>
              <w:t xml:space="preserve">班级出勤率统计</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学生专注度分析</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支持学生课堂动作分析</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支持学生学习行为占比分析</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支持学生课堂表现分析</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学生回答情况分析</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学生表情分析</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学生动作分析</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支持对整节课堂实现学生动作和表情的统计分析</w:t>
            </w:r>
            <w:r>
              <w:rPr>
                <w:rFonts w:hint="eastAsia" w:ascii="宋体" w:hAnsi="宋体" w:cs="宋体"/>
                <w:i w:val="0"/>
                <w:iCs w:val="0"/>
                <w:strike w:val="0"/>
                <w:color w:val="auto"/>
                <w:sz w:val="21"/>
                <w:szCs w:val="21"/>
                <w:u w:val="none"/>
                <w:lang w:val="en-US" w:eastAsia="zh-CN" w:bidi="ar"/>
              </w:rPr>
              <w:t xml:space="preserve">等。</w:t>
            </w:r>
            <w:r>
              <w:rPr>
                <w:rFonts w:hint="eastAsia" w:ascii="宋体" w:hAnsi="宋体" w:eastAsia="宋体" w:cs="宋体"/>
                <w:i w:val="0"/>
                <w:iCs w:val="0"/>
                <w:strike/>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五、语音智能分析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内容包括：</w:t>
            </w:r>
            <w:r>
              <w:rPr>
                <w:rFonts w:hint="eastAsia" w:ascii="宋体" w:hAnsi="宋体" w:eastAsia="宋体" w:cs="宋体"/>
                <w:i w:val="0"/>
                <w:iCs w:val="0"/>
                <w:color w:val="auto"/>
                <w:sz w:val="21"/>
                <w:szCs w:val="21"/>
                <w:u w:val="none"/>
                <w:lang w:val="en-US" w:eastAsia="zh-CN" w:bidi="ar"/>
              </w:rPr>
              <w:t xml:space="preserve">教师提问情况分析</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教师语速分析</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课堂语音转写</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课堂问答情况分析</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课堂问题类型分析</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课堂高频词分析</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课堂语气词分析</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语音转写回看</w:t>
            </w:r>
            <w:r>
              <w:rPr>
                <w:rFonts w:hint="eastAsia" w:ascii="宋体" w:hAnsi="宋体" w:cs="宋体"/>
                <w:i w:val="0"/>
                <w:iCs w:val="0"/>
                <w:strike w:val="0"/>
                <w:color w:val="auto"/>
                <w:sz w:val="21"/>
                <w:szCs w:val="21"/>
                <w:u w:val="none"/>
                <w:lang w:val="en-US" w:eastAsia="zh-CN" w:bidi="ar"/>
              </w:rPr>
              <w:t xml:space="preserve">等。</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41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AD2-06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智能行为分析管理平台</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numPr>
                <w:ilvl w:val="0"/>
                <w:numId w:val="0"/>
              </w:num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lang w:val="en-US" w:eastAsia="zh-CN" w:bidi="ar"/>
              </w:rPr>
              <w:t xml:space="preserve">一、</w:t>
            </w:r>
            <w:r>
              <w:rPr>
                <w:rFonts w:hint="eastAsia" w:ascii="宋体" w:hAnsi="宋体" w:eastAsia="宋体" w:cs="宋体"/>
                <w:i w:val="0"/>
                <w:iCs w:val="0"/>
                <w:color w:val="auto"/>
                <w:sz w:val="21"/>
                <w:szCs w:val="21"/>
                <w:u w:val="none"/>
                <w:lang w:val="en-US" w:eastAsia="zh-CN" w:bidi="ar"/>
              </w:rPr>
              <w:t xml:space="preserve">AI教情分析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#1.课堂教学行为分析：系统能自动识别的教师行为；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#2.展示模型：支持以秒为颗粒度对教师讲授、师生互动、指导学生、教师提问、书写板书等教学行为进行分析。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#3.教师巡视分析：支持对教师巡视停留占比情况进行AI分析。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#4.课堂问题汇总：支持对课堂中的问题类型和数量进行AI分析。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#5.学生回答情况分析：支持按照肯定性回答、解释性回答、无回答等维度对学生回答情况进行分析</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#6.支持教学行为分析法。</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二、AI学情分析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内容包括：</w:t>
            </w:r>
            <w:r>
              <w:rPr>
                <w:rFonts w:hint="eastAsia" w:ascii="宋体" w:hAnsi="宋体" w:eastAsia="宋体" w:cs="宋体"/>
                <w:i w:val="0"/>
                <w:iCs w:val="0"/>
                <w:color w:val="auto"/>
                <w:sz w:val="21"/>
                <w:szCs w:val="21"/>
                <w:u w:val="none"/>
                <w:lang w:val="en-US" w:eastAsia="zh-CN" w:bidi="ar"/>
              </w:rPr>
              <w:t xml:space="preserve">学生学习分析</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学生表情分析</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学生动作分析</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课堂纪律分析</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学生参与度和专注度分析</w:t>
            </w:r>
            <w:r>
              <w:rPr>
                <w:rFonts w:hint="eastAsia" w:ascii="宋体" w:hAnsi="宋体" w:cs="宋体"/>
                <w:i w:val="0"/>
                <w:iCs w:val="0"/>
                <w:color w:val="auto"/>
                <w:sz w:val="21"/>
                <w:szCs w:val="21"/>
                <w:u w:val="none"/>
                <w:lang w:val="en-US" w:eastAsia="zh-CN" w:bidi="ar"/>
              </w:rPr>
              <w:t xml:space="preserve">；</w:t>
            </w:r>
            <w:r/>
          </w:p>
          <w:p>
            <w:pPr>
              <w:numPr>
                <w:ilvl w:val="0"/>
                <w:numId w:val="0"/>
              </w:numPr>
              <w:ind w:left="0" w:firstLine="0"/>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三、</w:t>
            </w:r>
            <w:r>
              <w:rPr>
                <w:rFonts w:hint="eastAsia" w:ascii="宋体" w:hAnsi="宋体" w:eastAsia="宋体" w:cs="宋体"/>
                <w:i w:val="0"/>
                <w:iCs w:val="0"/>
                <w:color w:val="auto"/>
                <w:sz w:val="21"/>
                <w:szCs w:val="21"/>
                <w:u w:val="none"/>
                <w:lang w:val="en-US" w:eastAsia="zh-CN" w:bidi="ar"/>
              </w:rPr>
              <w:t xml:space="preserve">语音分析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内容包括：</w:t>
            </w:r>
            <w:r>
              <w:rPr>
                <w:rFonts w:hint="eastAsia" w:ascii="宋体" w:hAnsi="宋体" w:eastAsia="宋体" w:cs="宋体"/>
                <w:i w:val="0"/>
                <w:iCs w:val="0"/>
                <w:color w:val="auto"/>
                <w:sz w:val="21"/>
                <w:szCs w:val="21"/>
                <w:u w:val="none"/>
                <w:lang w:val="en-US" w:eastAsia="zh-CN" w:bidi="ar"/>
              </w:rPr>
              <w:t xml:space="preserve">语速分析</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词汇分析</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语音转写回看</w:t>
            </w:r>
            <w:r>
              <w:rPr>
                <w:rFonts w:hint="eastAsia" w:ascii="宋体" w:hAnsi="宋体" w:cs="宋体"/>
                <w:i w:val="0"/>
                <w:iCs w:val="0"/>
                <w:color w:val="auto"/>
                <w:sz w:val="21"/>
                <w:szCs w:val="21"/>
                <w:u w:val="none"/>
                <w:lang w:val="en-US" w:eastAsia="zh-CN" w:bidi="ar"/>
              </w:rPr>
              <w:t xml:space="preserve">；</w:t>
            </w:r>
            <w:r/>
          </w:p>
          <w:p>
            <w:pPr>
              <w:numPr>
                <w:ilvl w:val="0"/>
                <w:numId w:val="0"/>
              </w:numPr>
              <w:ind w:left="0" w:firstLine="0"/>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四、课程报告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内容包括：</w:t>
            </w:r>
            <w:r>
              <w:rPr>
                <w:rFonts w:hint="eastAsia" w:ascii="宋体" w:hAnsi="宋体" w:eastAsia="宋体" w:cs="宋体"/>
                <w:i w:val="0"/>
                <w:iCs w:val="0"/>
                <w:color w:val="auto"/>
                <w:sz w:val="21"/>
                <w:szCs w:val="21"/>
                <w:u w:val="none"/>
                <w:lang w:val="en-US" w:eastAsia="zh-CN" w:bidi="ar"/>
              </w:rPr>
              <w:t xml:space="preserve">AI课堂报告</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评课报告。</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9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AD2-07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#1.交换容量≥330Gbps，包转发率≥108Mpps;</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#2.固化10/100/1000M以太网端口≥24个，固化10G/1G SFP+光接口≥4个;</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#3.为保证设备在受到外接机械碰撞时能够正常运行，要求所投交换机IK防护测试级别至少达到IK05;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#4.支持生成树协议STP(IEEE 802.1d)，RSTP(IEEE 802.1w)和MSTP(IEEE 802.1s)，完全保证快速收敛，提高容错能力，保证网络的稳定运行和链路的负载均衡，合理使用网络通道;</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.支持IPV4/IPV6静态路由;</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.支持快速链路检测协议，可快速检测链路的通断和光纤链路的单向性，并支持端口下的环路检测功能，防止端口下因私接Hub等设备形成的环路而导致网络故障的现象;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AD2-08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单口面板</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#1.86型单口面板；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#2.带弹簧门式防尘盖（平口），带有透明标签夹，可以插入图标，说明端口的应用功能；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#3.材料要求：面板应由ABS模塑料制成，符合UL 94V-0等级要求；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#4.颜色：</w:t>
            </w:r>
            <w:r>
              <w:rPr>
                <w:rFonts w:hint="eastAsia" w:ascii="宋体" w:hAnsi="宋体" w:eastAsia="宋体" w:cs="宋体"/>
                <w:i w:val="0"/>
                <w:iCs w:val="0"/>
                <w:strike w:val="0"/>
                <w:color w:val="auto"/>
                <w:sz w:val="21"/>
                <w:szCs w:val="21"/>
                <w:u w:val="none"/>
                <w:lang w:val="en-US" w:eastAsia="zh-CN" w:bidi="ar"/>
              </w:rPr>
              <w:t xml:space="preserve">乳白色，</w:t>
            </w:r>
            <w:r>
              <w:rPr>
                <w:rFonts w:hint="eastAsia" w:ascii="宋体" w:hAnsi="宋体" w:eastAsia="宋体" w:cs="宋体"/>
                <w:i w:val="0"/>
                <w:iCs w:val="0"/>
                <w:strike w:val="0"/>
                <w:color w:val="auto"/>
                <w:sz w:val="21"/>
                <w:szCs w:val="21"/>
                <w:u w:val="none"/>
                <w:lang w:val="en-US" w:eastAsia="zh-CN" w:bidi="ar"/>
              </w:rPr>
              <w:t xml:space="preserve">颜色</w:t>
            </w:r>
            <w:r>
              <w:rPr>
                <w:rFonts w:hint="eastAsia" w:ascii="宋体" w:hAnsi="宋体" w:eastAsia="宋体" w:cs="宋体"/>
                <w:i w:val="0"/>
                <w:iCs w:val="0"/>
                <w:color w:val="auto"/>
                <w:sz w:val="21"/>
                <w:szCs w:val="21"/>
                <w:u w:val="none"/>
                <w:lang w:val="en-US" w:eastAsia="zh-CN" w:bidi="ar"/>
              </w:rPr>
              <w:t xml:space="preserve">可定制；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#5.要求网络面板通过硬度测试，硬度≥80 Shore D。</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3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AD2-09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#1.门及门锁：钢化玻璃前门，带锁；全金属后门，带锁；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#2.材料及工艺： 钢化玻璃前门和金属后门；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#3.侧板：速装卸侧板；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#4.底座：四重载轮和四调节脚；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#5.顶盖：侧通风顶盖；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#6.最大载重：300</w:t>
            </w:r>
            <w:r>
              <w:rPr>
                <w:rFonts w:hint="eastAsia" w:ascii="宋体" w:hAnsi="宋体" w:cs="宋体"/>
                <w:i w:val="0"/>
                <w:iCs w:val="0"/>
                <w:color w:val="auto"/>
                <w:sz w:val="21"/>
                <w:szCs w:val="21"/>
                <w:u w:val="none"/>
                <w:lang w:val="en-US" w:eastAsia="zh-CN" w:bidi="ar"/>
              </w:rPr>
              <w:t xml:space="preserve">kg</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7.风扇单元（一风机）：固定托架一个；五孔插口配电单元一个；地脚轮4个；地脚钉4颗；安装螺丝50颗。</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835"/>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AD2-10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★观摩电视机（含机架）</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#1.屏幕物理尺寸≥55吋；屏幕分辨率≥3840*2160；屏幕刷新率≥60Hz；屏幕可视角度≥±176度；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#3.整机功耗≤120W；待机功耗≤0.5W；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#4.内置喇叭个数≥2；喇叭总功率≥16W。</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AD2-11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LED时钟</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#1.教室后方配备LED屏。实现与录播一体机、桌面式触摸面板相结合，当老师按中控上开始录制键时，时钟从0开始计时，提醒录制时间。</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AD2-12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★显示器</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#1.≥22寸液晶，面板类型-TN面板  屏幕比例 16:10 ，响应时间 5ms   点距 0.2835mm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#2.色数 16.7M   亮度 250cd/m2，对比度 1000000：1 。</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AD2-13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监听音箱</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#1.声道 2.0，类型 多媒体音箱，理论功率 RMS 8W×2 （@fo=1kHz, THD=10%）；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#2.阻抗 20k欧姆，信噪比 &gt;=80dB(A计权，灵敏度 360mV；</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#3.防磁功能 支持音箱控制音量, 超低音旋钮调节扬声器单元低音单元：≥4英寸陶瓷纸盆，防磁设计、高音单元：3/4英寸PV膜球顶高音扬声器，防磁</w:t>
            </w:r>
            <w:r>
              <w:rPr>
                <w:rFonts w:hint="eastAsia" w:ascii="宋体" w:hAnsi="宋体" w:cs="宋体"/>
                <w:i w:val="0"/>
                <w:iCs w:val="0"/>
                <w:color w:val="auto"/>
                <w:sz w:val="21"/>
                <w:szCs w:val="21"/>
                <w:u w:val="none"/>
                <w:lang w:val="en-US" w:eastAsia="zh-CN" w:bidi="ar"/>
              </w:rPr>
              <w:t xml:space="preserve">设计</w:t>
            </w:r>
            <w:r>
              <w:rPr>
                <w:rFonts w:hint="eastAsia" w:ascii="宋体" w:hAnsi="宋体" w:eastAsia="宋体" w:cs="宋体"/>
                <w:i w:val="0"/>
                <w:iCs w:val="0"/>
                <w:color w:val="auto"/>
                <w:sz w:val="21"/>
                <w:szCs w:val="21"/>
                <w:u w:val="none"/>
                <w:lang w:val="en-US" w:eastAsia="zh-CN" w:bidi="ar"/>
              </w:rPr>
              <w:t xml:space="preserve">，接口双立体声RCA接口，A口高音提升。</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w:t>
            </w:r>
            <w:r/>
          </w:p>
        </w:tc>
      </w:tr>
      <w:tr>
        <w:trPr>
          <w:trHeight w:val="575"/>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AD2-14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控制区操作台</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#1.尺寸(长×宽×高）≥ 1280*750（950）*900mm ；                                                                                            </w:t>
            </w:r>
            <w:r>
              <w:rPr>
                <w:rFonts w:hint="eastAsia" w:ascii="宋体" w:hAnsi="宋体" w:eastAsia="宋体" w:cs="宋体"/>
                <w:i w:val="0"/>
                <w:iCs w:val="0"/>
                <w:color w:val="auto"/>
                <w:sz w:val="21"/>
                <w:szCs w:val="21"/>
                <w:u w:val="none"/>
                <w:lang w:val="en-US" w:eastAsia="zh-CN" w:bidi="ar"/>
              </w:rPr>
              <w:t xml:space="preserve">        #2.主体框架采用无螺丝卡扣式组装方式，可实现快速组装随意组合，台体底座装有高度可调节水平地脚支撑，每个工位配备一组键盘抽屉和一组19寸机架和一块托盘；                                                                                                                     #3.操作台面和侧板需选用E1级环保实木颗粒板，台面采用黑白喷漆套色；                    </w:t>
            </w:r>
            <w:r>
              <w:rPr>
                <w:rFonts w:hint="eastAsia" w:ascii="宋体" w:hAnsi="宋体" w:eastAsia="宋体" w:cs="宋体"/>
                <w:i w:val="0"/>
                <w:iCs w:val="0"/>
                <w:color w:val="auto"/>
                <w:sz w:val="21"/>
                <w:szCs w:val="21"/>
                <w:u w:val="none"/>
                <w:lang w:val="en-US" w:eastAsia="zh-CN" w:bidi="ar"/>
              </w:rPr>
              <w:t xml:space="preserve">                                                            #4.铝型材屏风高度≥200mm，需可安装各型号显示器支架；                                                                                                       #5.金属框架需选用冷轧钢板，整体框架厚≥1.5mm,前后门厚≥1.0mm, 木质台面厚度≥25mm，铝型材厚度≥2.0mm；</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#6、操作台所有金属构件表面需喷涂柔性磨砂哑光漆。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AD2-15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操作椅</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#1.座背饰面：采用抗菌防霉的网布;</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#2.海绵：采用高密度、慢回弹的阻燃</w:t>
            </w:r>
            <w:r>
              <w:rPr>
                <w:rFonts w:hint="eastAsia" w:ascii="宋体" w:hAnsi="宋体" w:cs="宋体"/>
                <w:i w:val="0"/>
                <w:iCs w:val="0"/>
                <w:color w:val="auto"/>
                <w:sz w:val="21"/>
                <w:szCs w:val="21"/>
                <w:u w:val="none"/>
                <w:lang w:val="en-US" w:eastAsia="zh-CN" w:bidi="ar"/>
              </w:rPr>
              <w:t xml:space="preserve">海绵</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#3.结构：座位内置钢板，设置有专用通风孔。</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#4.气压棒：全黑色外观，气杆行程超过100mm，满足不同身高人群，内管壁厚≥ 1.5mm，确保气压室密闭强度，提高安全性。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#5.弓形架：金属件喷涂层应无漏喷、锈蚀和脱色、掉色现象，涂层应光滑均匀、色泽一致；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生产工艺要求：钢管或钢架焊接表面要求波纹均匀，焊接处无夹渣、气孔、焊瘤、焊接头咬边和飞溅，并保证无脱焊、虚焊、焊穿等现象。所有金属作防锈工序处理，无气泡、无裂缝、表面光洁、静电喷塑、烘干处理、高温固化，表面无脱色现象。</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4238"/>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AD2-16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互动教学系统</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#1.局域网内可教学，无外网连接的情况下≥60个用户同时连接依然可以进行有序的课堂教学;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#2.支持win11、Win10、andriod、iOS</w:t>
            </w:r>
            <w:r>
              <w:rPr>
                <w:rFonts w:hint="eastAsia" w:ascii="宋体" w:hAnsi="宋体" w:cs="宋体"/>
                <w:i w:val="0"/>
                <w:iCs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操作系统，可实现多种系统之间混合使用;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#3.屏幕广播：广播多媒体课件，3D，大型游戏界面，支持DirectDraw、Direct3D、 Overlay、OpenGL等特殊显示方式，支持全屏和窗口模式切换，广播同时可进行屏幕录制;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▲4.主题讨论：同组或同主题师生支持多种方式进行交流。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文件管理：有文件分发、收集、提交功能，可拖拽添加文件，可限制学生提交文件的数目和大小屏幕监视：教师机可监视多个学生屏幕≥3</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个,并可保存学生画面的截图;</w:t>
            </w:r>
            <w:r>
              <w:rPr>
                <w:rFonts w:hint="eastAsia" w:ascii="宋体" w:hAnsi="宋体" w:eastAsia="宋体" w:cs="宋体"/>
                <w:b/>
                <w:bCs/>
                <w:i w:val="0"/>
                <w:iCs w:val="0"/>
                <w:color w:val="auto"/>
                <w:sz w:val="21"/>
                <w:szCs w:val="21"/>
                <w:u w:val="none"/>
                <w:lang w:val="en-US" w:eastAsia="zh-CN" w:bidi="ar"/>
              </w:rPr>
              <w:t xml:space="preserve">（提供以上功能截图）</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#5.班级模型：获取学生端计算机的名称、登录名、学生端应用程序、进程和进程 ID，远程终止学生端进程，可实时显示学生机桌面的缩图;</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课堂策略控制：在课堂上，教师可以设置上网策略、应用程序策略、USB、CD使用、打印限制策略，对不同学生设置不同策略，查看当前的学生策略，上网限制支持多浏览器，IE、Chrome、QQ、Firefox、360等都可以限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.考试：教师导入word、ppt、excel、pdf等文档类型的考试内容共享给学生，直接生成答题卡用于学生作答；考试过程中，可以看到学生答题的进度，答题情况，考试结果</w:t>
            </w:r>
            <w:r>
              <w:rPr>
                <w:rFonts w:hint="eastAsia" w:ascii="宋体" w:hAnsi="宋体" w:cs="宋体"/>
                <w:i w:val="0"/>
                <w:iCs w:val="0"/>
                <w:color w:val="auto"/>
                <w:sz w:val="21"/>
                <w:szCs w:val="21"/>
                <w:u w:val="none"/>
                <w:lang w:val="en-US" w:eastAsia="zh-CN" w:bidi="ar"/>
              </w:rPr>
              <w:t xml:space="preserve">可以</w:t>
            </w:r>
            <w:r>
              <w:rPr>
                <w:rFonts w:hint="eastAsia" w:ascii="宋体" w:hAnsi="宋体" w:eastAsia="宋体" w:cs="宋体"/>
                <w:i w:val="0"/>
                <w:iCs w:val="0"/>
                <w:color w:val="auto"/>
                <w:sz w:val="21"/>
                <w:szCs w:val="21"/>
                <w:u w:val="none"/>
                <w:lang w:val="en-US" w:eastAsia="zh-CN" w:bidi="ar"/>
              </w:rPr>
              <w:t xml:space="preserve">导出。考试过程中有断电、关机等意外学生断线重连。自动评分，分析统计结果，将评分结果发送给学生。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具备学生演示、视频直播、屏幕录制、语音广播、语音对讲、电子点名、远程开关机、远程命令、远程设置、远程登录、支持远程为学生端安装/卸载应用程序、登录windows前接受广播、请求帮助、举手、发言、自动锁屏、防杀进程、黑屏肃静等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9</w:t>
            </w:r>
            <w:r>
              <w:rPr>
                <w:rFonts w:hint="eastAsia" w:ascii="宋体" w:hAnsi="宋体" w:eastAsia="宋体" w:cs="宋体"/>
                <w:i w:val="0"/>
                <w:iCs w:val="0"/>
                <w:color w:val="auto"/>
                <w:sz w:val="21"/>
                <w:szCs w:val="21"/>
                <w:u w:val="none"/>
                <w:lang w:val="en-US" w:eastAsia="zh-CN" w:bidi="ar"/>
              </w:rPr>
              <w:t xml:space="preserve">.支持</w:t>
            </w:r>
            <w:r>
              <w:rPr>
                <w:rFonts w:hint="eastAsia" w:ascii="宋体" w:hAnsi="宋体" w:eastAsia="宋体" w:cs="宋体"/>
                <w:i w:val="0"/>
                <w:iCs w:val="0"/>
                <w:color w:val="auto"/>
                <w:sz w:val="21"/>
                <w:szCs w:val="21"/>
                <w:u w:val="none"/>
                <w:lang w:val="en-US" w:eastAsia="zh-CN" w:bidi="ar"/>
              </w:rPr>
              <w:t xml:space="preserve">设备的有线接入：设备具有1路HDMI输入接口，支持电脑、摄像机、实物展台等外部设备的有线接入。具有1路HDMI输出接口。可通过USB口直接接入摄像头采集环境画面，支持通过USB口进行鼠标键盘的接入，支持选择U盘中的文档、图片、视频等资料直接打开播放，也可对存储至U盘的资源进行预览、删除，支持三大类公有传输协议投屏：支持Air Play、Miracast、WIDI投射协议投屏，能够将iOS设备、macOS设备、Android设备、Windows设备不安装任何APP或者插件的前提下直接无线接入智能云盒进行投屏；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.多种画面布局显示：支持不少于1</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个投屏设备同时接入智能云盒，不少于同时</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个画面显示，且支持Auto（自适应）画面</w:t>
            </w:r>
            <w:r>
              <w:rPr>
                <w:rFonts w:hint="eastAsia" w:ascii="宋体" w:hAnsi="宋体" w:cs="宋体"/>
                <w:i w:val="0"/>
                <w:iCs w:val="0"/>
                <w:color w:val="auto"/>
                <w:sz w:val="21"/>
                <w:szCs w:val="21"/>
                <w:u w:val="none"/>
                <w:lang w:val="en-US" w:eastAsia="zh-CN" w:bidi="ar"/>
              </w:rPr>
              <w:t xml:space="preserve">，</w:t>
            </w:r>
            <w:r>
              <w:rPr>
                <w:rFonts w:hint="eastAsia" w:ascii="宋体" w:hAnsi="宋体" w:cs="宋体"/>
                <w:i w:val="0"/>
                <w:iCs w:val="0"/>
                <w:strike w:val="0"/>
                <w:color w:val="auto"/>
                <w:sz w:val="21"/>
                <w:szCs w:val="21"/>
                <w:u w:val="none"/>
                <w:lang w:val="en-US" w:eastAsia="zh-CN" w:bidi="ar"/>
              </w:rPr>
              <w:t xml:space="preserve">多种</w:t>
            </w:r>
            <w:r>
              <w:rPr>
                <w:rFonts w:hint="eastAsia" w:ascii="宋体" w:hAnsi="宋体" w:eastAsia="宋体" w:cs="宋体"/>
                <w:i w:val="0"/>
                <w:iCs w:val="0"/>
                <w:color w:val="auto"/>
                <w:sz w:val="21"/>
                <w:szCs w:val="21"/>
                <w:u w:val="none"/>
                <w:lang w:val="en-US" w:eastAsia="zh-CN" w:bidi="ar"/>
              </w:rPr>
              <w:t xml:space="preserve">画面切换模式，不少于8种默认画面布局方式，画面支持均分屏幕、一大一小、一大两小、一大三小、画中画等；一键点击，即可选择相应的布局。布局内显示的投屏设备具有设备画面记忆功能。界面布局支持：全屏模式、工具条显示模式、研讨模式等。</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.互动：支持参会者使用手写板、反馈器、微信小程序参与会议互动</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strike w:val="0"/>
                <w:color w:val="auto"/>
                <w:sz w:val="21"/>
                <w:szCs w:val="21"/>
                <w:u w:val="none"/>
                <w:lang w:val="en-US" w:eastAsia="zh-CN" w:bidi="ar"/>
              </w:rPr>
              <w:t xml:space="preserve">可统计互动数据，生成报告，点击下课。</w:t>
            </w:r>
            <w:r>
              <w:rPr>
                <w:rFonts w:hint="eastAsia" w:ascii="宋体" w:hAnsi="宋体" w:eastAsia="宋体" w:cs="宋体"/>
                <w:i w:val="0"/>
                <w:iCs w:val="0"/>
                <w:strike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网络直播：支持创建即时直播，收看端直接收看直播。支持选择不同的收看方式：选择云盒作为收看端设备、允许云盒通过直播间ID加入收看直播、支持移动端通过扫描二维码观看本次直播。支持锁定直播间，锁定后，其他云盒则无法再加入收看直播。支持直播端设备查看：收看端是否加入直播间、收看端设备类型、收看端加入直播间方式、是否移除收看端设备、锁定直播间、结束直播等信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.支持反向控制操作：支持对HDMI有线接入的电脑、无线投屏的Android、Windows设备进行反向控制操作，具有选择开启或关闭功能按钮，可在显示终端大屏触摸或通过智能云盒外接鼠标以及遥控器软件进行回控。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.扩展屏：支持android和windows系统的移动终端设备安装扩展屏软件，视频流画面实时同步到移动终端上。设置选择接收视频流画面，支持:大屏画面、录制直播画面、同步课堂画面等。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.安全策略：支持设置随机PIN码和固定PIN码，移动端设备无线投屏或使用遥控器APP时均需输入对应的PIN码；可支持设置管理员密码和密码提示信息，每次进入“设置”界面均需要输入管理员密码。</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AD2-17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高性能AP</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#1.802.11ac wave2高性能无线接入点，采用三频设计，支持2.4G、5G、5G三频并发。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#2.接入速率：2.4G≥400Mbps、5G（1）≥867Mbps、5G（2）≥1733Mbps。</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#3.以太网口：≥2*10/100/1000Mbps。</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#4.供电方式：支持802.3at供电，支持多以太网口同时POE供电。</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#5.USB接口：支持外接U盘及物联网拓展。</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#6.支持中文SSID，可以用学校或班级名称作为Wi-Fi信号，适用于多种应用场景。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#7.支持无线控制器管理。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AD2-18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充电柜</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#1.平板电脑支持尺寸：10英寸以上；平板电脑方式方向：横放；</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#2.平板充电数量：40-60位；充电接口：220V插座；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#3.柜体内部设计方便走线；柜体采用全封闭式防盗结构，安全存储；柜门采用大转角设计，方便多位同学同时取放平板；充电柜采用可移动式设计，具备万向轮，可移动。</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798"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文宣装修</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AD3-01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墙面聚酯纤维吸音板</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#1.聚酯纤维吸音板，规格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24</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0*12</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0*</w:t>
            </w:r>
            <w:r>
              <w:rPr>
                <w:rFonts w:hint="eastAsia" w:ascii="宋体" w:hAnsi="宋体" w:cs="宋体"/>
                <w:i w:val="0"/>
                <w:iCs w:val="0"/>
                <w:color w:val="auto"/>
                <w:sz w:val="21"/>
                <w:szCs w:val="21"/>
                <w:u w:val="none"/>
                <w:lang w:val="en-US" w:eastAsia="zh-CN" w:bidi="ar"/>
              </w:rPr>
              <w:t xml:space="preserve">10</w:t>
            </w:r>
            <w:r>
              <w:rPr>
                <w:rFonts w:hint="eastAsia" w:ascii="宋体" w:hAnsi="宋体" w:eastAsia="宋体" w:cs="宋体"/>
                <w:i w:val="0"/>
                <w:iCs w:val="0"/>
                <w:color w:val="auto"/>
                <w:sz w:val="21"/>
                <w:szCs w:val="21"/>
                <w:u w:val="none"/>
                <w:lang w:val="en-US" w:eastAsia="zh-CN" w:bidi="ar"/>
              </w:rPr>
              <w:t xml:space="preserve">mm，环保等级E1，含B1级防火板底板，万能胶粘贴。</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AD3-02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墙面木质吸音板</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#1.木制吸音板，规格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2400*19</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mm，环保等级E1，降噪系数0.25，立柱整包。</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AD3-03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吊顶</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#1.铝板集成吊顶+石膏板。</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AD3-04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地面PVC</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#1.3.0mm及以上厚度，采用原生材料，产品结构从上到下依次为pvc耐磨层，稳定层，网格布夹带层，发泡层，防移动吸附式背板。</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AD3-05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观察窗</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w:t>
            </w:r>
            <w:r>
              <w:rPr>
                <w:rFonts w:hint="eastAsia" w:ascii="宋体" w:hAnsi="宋体" w:cs="宋体"/>
                <w:i w:val="0"/>
                <w:iCs w:val="0"/>
                <w:color w:val="auto"/>
                <w:sz w:val="21"/>
                <w:szCs w:val="21"/>
                <w:u w:val="none"/>
                <w:lang w:val="en-US" w:eastAsia="zh-CN" w:bidi="ar"/>
              </w:rPr>
              <w:t xml:space="preserve">mm</w:t>
            </w:r>
            <w:r>
              <w:rPr>
                <w:rFonts w:hint="eastAsia" w:ascii="宋体" w:hAnsi="宋体" w:eastAsia="宋体" w:cs="宋体"/>
                <w:i w:val="0"/>
                <w:iCs w:val="0"/>
                <w:color w:val="auto"/>
                <w:sz w:val="21"/>
                <w:szCs w:val="21"/>
                <w:u w:val="none"/>
                <w:lang w:val="en-US" w:eastAsia="zh-CN" w:bidi="ar"/>
              </w:rPr>
              <w:t xml:space="preserve">钢化玻璃+单面透视贴。</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AD3-06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PVC板</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#1.现场定制。</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AD3-07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KT板</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#1.UV雕刻。</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AD3-08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电路工程</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#1.2.5国标铜芯电线、pvc线管、开关盒。</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AD3-09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讲台地面升高</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#1.木质底板，木工板敷面，高度12CM。</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AD3-10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踢脚线</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#与地胶匹配，木质或金属拉丝材质。</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AD3-11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LED平板灯</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#1.名称：平板灯（LED）色温4500-5500k;</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600*600</w:t>
            </w:r>
            <w:r>
              <w:rPr>
                <w:rFonts w:hint="eastAsia" w:ascii="宋体" w:hAnsi="宋体" w:cs="宋体"/>
                <w:i w:val="0"/>
                <w:iCs w:val="0"/>
                <w:color w:val="auto"/>
                <w:sz w:val="21"/>
                <w:szCs w:val="21"/>
                <w:u w:val="none"/>
                <w:lang w:val="en-US" w:eastAsia="zh-CN" w:bidi="ar"/>
              </w:rPr>
              <w:t xml:space="preserve">mm</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#3.安装形式：吸顶安装。</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AD3-12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观摩室吊顶</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#1.铝板集成吊顶含吊筋（50mm）。</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AD3-13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观摩室地面PVC</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#1.厚度≥3.0MM 凹凸面</w:t>
            </w:r>
            <w:r>
              <w:rPr>
                <w:rFonts w:hint="eastAsia" w:ascii="宋体" w:hAnsi="宋体" w:cs="宋体"/>
                <w:i w:val="0"/>
                <w:iCs w:val="0"/>
                <w:color w:val="auto"/>
                <w:sz w:val="21"/>
                <w:szCs w:val="21"/>
                <w:u w:val="none"/>
                <w:lang w:val="en-US" w:eastAsia="zh-CN" w:bidi="ar"/>
              </w:rPr>
              <w:t xml:space="preserve">哑</w:t>
            </w:r>
            <w:r>
              <w:rPr>
                <w:rFonts w:hint="eastAsia" w:ascii="宋体" w:hAnsi="宋体" w:eastAsia="宋体" w:cs="宋体"/>
                <w:i w:val="0"/>
                <w:iCs w:val="0"/>
                <w:color w:val="auto"/>
                <w:sz w:val="21"/>
                <w:szCs w:val="21"/>
                <w:u w:val="none"/>
                <w:lang w:val="en-US" w:eastAsia="zh-CN" w:bidi="ar"/>
              </w:rPr>
              <w:t xml:space="preserve">光。</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AD3-14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观摩室墙面乳胶漆刷白</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#1.环保无机涂料，防火等级B1，成品腻子粉。</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AD3-15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观摩室电路工程</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#1.国标铜芯电线、pvc线管、开关盒。</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AD3-16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观摩室踢脚线</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#1.与地胶匹配，木质或金属拉丝材质。</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AD3-17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观摩室LED平板灯</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#1.名称：平板灯（LED）色温4500-5500k;</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600*600</w:t>
            </w:r>
            <w:r>
              <w:rPr>
                <w:rFonts w:hint="eastAsia" w:ascii="宋体" w:hAnsi="宋体" w:cs="宋体"/>
                <w:i w:val="0"/>
                <w:iCs w:val="0"/>
                <w:color w:val="auto"/>
                <w:sz w:val="21"/>
                <w:szCs w:val="21"/>
                <w:u w:val="none"/>
                <w:lang w:val="en-US" w:eastAsia="zh-CN" w:bidi="ar"/>
              </w:rPr>
              <w:t xml:space="preserve">mm</w:t>
            </w: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AD3-18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观摩室开关插座及电源控箱</w:t>
            </w:r>
            <w:r/>
          </w:p>
        </w:tc>
        <w:tc>
          <w:tcPr>
            <w:shd w:val="clear" w:color="auto" w:fill="auto"/>
            <w:tcBorders>
              <w:top w:val="single" w:color="000000" w:sz="4" w:space="0"/>
              <w:left w:val="single" w:color="000000" w:sz="4" w:space="0"/>
              <w:bottom w:val="single" w:color="000000" w:sz="4" w:space="0"/>
              <w:right w:val="single" w:color="000000" w:sz="4" w:space="0"/>
            </w:tcBorders>
            <w:tcW w:w="646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#1.PZ暗装盒含漏电保护器，空开，灯开关插座等。</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bl>
    <w:p>
      <w:pPr>
        <w:jc w:val="left"/>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r>
      <w:r/>
    </w:p>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r>
      <w:r/>
    </w:p>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r>
      <w:r/>
    </w:p>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r>
      <w:r/>
    </w:p>
    <w:tbl>
      <w:tblPr>
        <w:tblStyle w:val="727"/>
        <w:tblW w:w="1034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8"/>
        <w:gridCol w:w="1365"/>
        <w:gridCol w:w="6630"/>
        <w:gridCol w:w="735"/>
        <w:gridCol w:w="660"/>
      </w:tblGrid>
      <w:tr>
        <w:trPr>
          <w:trHeight w:val="567"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103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AE-初中化学仪器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5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教师演示仪器</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AE1-01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钢制黑板</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#1、黑板为双面金属，中间为人造板，无</w:t>
            </w:r>
            <w:r>
              <w:rPr>
                <w:rFonts w:hint="eastAsia" w:ascii="宋体" w:hAnsi="宋体" w:cs="宋体"/>
                <w:i w:val="0"/>
                <w:iCs w:val="0"/>
                <w:color w:val="auto"/>
                <w:sz w:val="21"/>
                <w:szCs w:val="21"/>
                <w:u w:val="none"/>
                <w:lang w:val="en-US" w:eastAsia="zh-CN" w:bidi="ar"/>
              </w:rPr>
              <w:t xml:space="preserve">镜面</w:t>
            </w:r>
            <w:r>
              <w:rPr>
                <w:rFonts w:hint="eastAsia" w:ascii="宋体" w:hAnsi="宋体" w:eastAsia="宋体" w:cs="宋体"/>
                <w:i w:val="0"/>
                <w:iCs w:val="0"/>
                <w:color w:val="auto"/>
                <w:sz w:val="21"/>
                <w:szCs w:val="21"/>
                <w:u w:val="none"/>
                <w:lang w:val="en-US" w:eastAsia="zh-CN" w:bidi="ar"/>
              </w:rPr>
              <w:t xml:space="preserve">反光。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#2、尺寸为</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900mm×600mm。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AE1-02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#1.采用优质钢材，防锈处理。穿孔管用外径为6mm．8mm．10mm，管长≥80mm，壁厚≥1mm的钢管，手柄用≥2mm厚钢板，通用条Φ3mm碳素钢等制成。四件为一套，可穿4mm．6mm．8mm的圆孔。</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AE1-03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打孔夹板</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#1．产品由上夹板、下夹板、螺钉及紧固蝴蝶螺母等组成。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长170mm，宽40mm。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#3．上、下夹板应由透明有机玻璃制成。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#4．上夹板应备有直径为6mm、8mm、10mm、12mm直穿孔4个。</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．上夹板、下夹板厚≥10mm，具有足够强度，正常情况下使用不得断裂；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AE1-04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手摇钻孔器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#1.组成：仪器由旋转立柱、夹持固定装置、四个不同直径刀头及捅条组成；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#2.螺旋立柱应能通过手轮的转动向安装后的刀头稳定加压打孔；</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#3.四支刀口外径分别为Φ12mm，Φ10mm,Φ8mm,Φ6mm，捅条直径不小于φ4mm，刀口锋利，无卷边；</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AE1-05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680mm×4</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0mm×800mm。不锈钢材料制。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#2．仪器车应分为2层，层间距不小于300mm。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#3．车架用直径不小于Φ19mm、壁厚不小于1mm的不锈钢管制成，高不低于800mm。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#4．车架脚安装有不小于Φ50mm、厚15mm转动灵活的万向轮。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#5．车隔板为不薄于1mm的不锈钢制成，四周安装有约30mm高的挡板。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#6．整车安装好后应载重≥50</w:t>
            </w:r>
            <w:r>
              <w:rPr>
                <w:rFonts w:hint="eastAsia" w:ascii="宋体" w:hAnsi="宋体" w:cs="宋体"/>
                <w:i w:val="0"/>
                <w:iCs w:val="0"/>
                <w:color w:val="auto"/>
                <w:sz w:val="21"/>
                <w:szCs w:val="21"/>
                <w:u w:val="none"/>
                <w:lang w:val="en-US" w:eastAsia="zh-CN" w:bidi="ar"/>
              </w:rPr>
              <w:t xml:space="preserve">kg</w:t>
            </w:r>
            <w:r>
              <w:rPr>
                <w:rFonts w:hint="eastAsia" w:ascii="宋体" w:hAnsi="宋体" w:eastAsia="宋体" w:cs="宋体"/>
                <w:i w:val="0"/>
                <w:iCs w:val="0"/>
                <w:color w:val="auto"/>
                <w:sz w:val="21"/>
                <w:szCs w:val="21"/>
                <w:u w:val="none"/>
                <w:lang w:val="en-US" w:eastAsia="zh-CN" w:bidi="ar"/>
              </w:rPr>
              <w:t xml:space="preserve">，应运行平稳，不得变形、摇晃、松动。</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辆</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AE1-06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离心沉淀器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#1.产品应采用塑料注塑成型作支架，沉淀管用半透明塑料组成；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#2.产品由固定支架、手柄、变速机构、离心机构四部分组成；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#3.可变速度50-150次/分；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#4.各部结构应可靠、灵活，金属部分电镀； </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674"/>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AE1-07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蒸馏水器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#1.采用不锈钢制作精细，卫生；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#2.采用三线电源接地保护，安全可靠。使用电源：交流220V，50Hz。功率：≥3</w:t>
            </w:r>
            <w:r>
              <w:rPr>
                <w:rFonts w:hint="eastAsia" w:ascii="宋体" w:hAnsi="宋体" w:cs="宋体"/>
                <w:i w:val="0"/>
                <w:iCs w:val="0"/>
                <w:color w:val="auto"/>
                <w:sz w:val="21"/>
                <w:szCs w:val="21"/>
                <w:u w:val="none"/>
                <w:lang w:val="en-US" w:eastAsia="zh-CN" w:bidi="ar"/>
              </w:rPr>
              <w:t xml:space="preserve">kW</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290×200×575mm；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#4.蒸馏水器由蒸发锅、冷凝器、电器装置三部分等组成。</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#5.规格：出水量≥3升/小时。</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AE1-08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列管式烘干器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#1.产品为列管烘干型式；外壳为不锈钢；列管为金属制，管上有直径3mm的孔12个，顶端为塑料帽，管长约170mm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#2.电热部分应与外壳及经常接触部位进行安全隔离；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#3.被干燥仪器每批</w:t>
            </w:r>
            <w:r>
              <w:rPr>
                <w:rFonts w:hint="eastAsia" w:ascii="宋体" w:hAnsi="宋体" w:eastAsia="宋体" w:cs="宋体"/>
                <w:i w:val="0"/>
                <w:iCs w:val="0"/>
                <w:strike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件；结构简单的仪器每批干燥时间约为30分钟；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#4.工作电压：220V，电机功率：20W，发热功率：260W。</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AE1-09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滴定台</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#1、底座台面为大理石面，尺寸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300×150×1</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#2、立柱由Φ10mm圆钢制成，一端有螺纹并附螺帽及垫片，表面镀铬，置于工作台面上与台面垂直不大于5°；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#3、底座四脚有橡胶垫脚，放置平衡不晃动。</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AE1-10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滴定夹</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#1、塑料制。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#2、固定支杆的部位为塑料带凹槽，滴管夹子弹性强，夹持牢固。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230mm×120mm。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AE1-11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#1.输出电压：交流输出：2V－12V，每2V</w:t>
            </w:r>
            <w:r>
              <w:rPr>
                <w:rFonts w:hint="eastAsia" w:ascii="宋体" w:hAnsi="宋体" w:cs="宋体"/>
                <w:i w:val="0"/>
                <w:iCs w:val="0"/>
                <w:color w:val="auto"/>
                <w:sz w:val="21"/>
                <w:szCs w:val="21"/>
                <w:u w:val="none"/>
                <w:lang w:val="en-US" w:eastAsia="zh-CN" w:bidi="ar"/>
              </w:rPr>
              <w:t xml:space="preserve">一档</w:t>
            </w:r>
            <w:r>
              <w:rPr>
                <w:rFonts w:hint="eastAsia" w:ascii="宋体" w:hAnsi="宋体" w:eastAsia="宋体" w:cs="宋体"/>
                <w:i w:val="0"/>
                <w:iCs w:val="0"/>
                <w:color w:val="auto"/>
                <w:sz w:val="21"/>
                <w:szCs w:val="21"/>
                <w:u w:val="none"/>
                <w:lang w:val="en-US" w:eastAsia="zh-CN" w:bidi="ar"/>
              </w:rPr>
              <w:t xml:space="preserve">；共六档；额定输出电流：5A。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#2.直流稳压输出，1.5V－12V，分1.5V、3V、4.5V、6V、9V、12V六档；额定输出电流：2A。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#3.直流大电流短时输出：40A，8秒自动关断。</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#4.交流输出：a.各档空载电压不大于1.05 U标＋0.3V； b.各档满载电压不小于0.95 U标－0.3V。</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#5.直流稳压输出：a. 电压偏调：±（2％U标＋0.1V） b. 电压稳定性：输入电压在198V－242V件变化，在满载时各档输出电压变化量不大于2％U标＋0.1V。 c. 负载稳定性：输入电压保持220V不变，负载电流在0至满载范围内变化，各档输出电压变化量不大于2％U标＋0.1V。 d. 纹波电压：电源电压保持220V，满载时各档纹波电压不大于0.1％U标（有效值）。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#6.直流大电流短时输出电流大于10A时，20s±2s自动关断。输出短时电流为40A+10A，8 s±2自动关断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#7.过载保护：交流和直流稳压输出电流在额定电流值的1.05－1.5倍时，自动关断输出。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 8.机箱采用全塑料注塑成型，外形尺寸：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250mm×200mm×115mm。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AE1-12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#1．最大称量100g，分度值0.1g。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#2．砝码组合的总质量（包括标尺计量值）应不小于天平的最大秤量，砝码分别为：50g1个、20g2个、10g1个、5g1个。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#3.冲压件表面应光洁平整，不应有毛刺、锋棱、裂纹和显见砂眼。</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#4.电镀件的镀层应色泽均匀，不应有露底和显见的麻点、水迹、擦伤等缺陷。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#5.油漆件表面应平整光滑，色泽均匀，不应有露底、起泡、挂漆、擦伤等缺陷。</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#6.附塑料镊子一把。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#7.托盘直径82mm；外形尺寸：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200mm×70mm×140mm。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AE1-13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#1.最大称量500g，分度值0.5 g。</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#2.秤量允许误差为±0.5d(分度值)。</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#3.砝码组合的总质量（包括标尺计量值）应不小于天平的最大秤量。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#4.冲压件表面应光洁平整，不应有毛刺、锋棱、裂纹和显见砂眼。</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#5.电镀件的镀层应色泽均匀，不应有露底和显见的麻点、水迹、擦伤等缺陷。</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#6.油漆件表面应平整光滑，色泽均匀，不应有露底、起泡、挂漆、擦伤等缺陷。</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AE1-14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#1.100g，0.001g。</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#2.称盘尺寸：圆盘ф130mm。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#3.电源电压：220VAC。</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#4.采用高精度电磁平衡传达室感器，LED显示。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#5.具有计数、确认、清零、校准。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#6.防风罩一套，采用透明塑料注塑成型。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#7.校准砝码1个。</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#8.主机外形尺寸：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185mm×235mm×50mm。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AE1-15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#1.400g，0.1g。</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#2.称盘尺寸：圆盘ф130mm。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#3.电源电压：220VAC。</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#4.采用高精度电磁平衡传达室感器，LED显示。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#5.具有计数、确认、清零、校准。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AE1-16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数字测温计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#1.工作参数：220V±10%.2W。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200×175×80mm，塑料垂纹外壳，塑料仪器面板，有散热孔。</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#3.测温范围：-55～+199℃。</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#4.测量误差：±0.5℃。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#5.显示方式：≥4位LED红色显示。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#6.传感方式：直接接触式。</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AE1-17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内磁表头。测量范围：直流电流：0～5～50～500mA,10A；直流电压：0～0.25～0.5～10～50～250～500～1000V，交流电压：0～10～50～250～500～1000V；直流电阻：X1～X10K；温度测试：-10～150℃，电容：0.01～100000μf；电感：20～1000H；音频电平：-10～+22db。表笔1套。外型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165×11</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×5</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mm。重量：≥0.</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AE1-18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密度计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#1.密度＞1。长度：255mm。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AE1-19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密度计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#1.密度＜1。长度：260mm。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AE1-20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水电解演示器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#1.由2个25ml酸式滴定管，1个直形安全漏斗，1个无色透明塑料容器，2个铂电极和附件组成。在12V.1A直流中的作用下，3-5分钟内，由电解的水生成20ml：10ml的氢气和氧气。</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AE1-21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玻璃仪器刷洗器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#1.机械式。产品由主机、旋转轴、水管等组成。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#2.主机外壳为金属制，表面烤漆处理，外形尺寸：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230mm×130mm×90mm。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#3.工作电压：220V 50Hz，功率：30W，转速：≥2500y/min。</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AE1-22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溶液导电演示器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#1.产品由演示板、溶液盒5套等组成。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#2．演示板应采用塑料注塑成型，白色，演示板外形尺寸：31</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±2mm×21</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±2mm×</w:t>
            </w:r>
            <w:r>
              <w:rPr>
                <w:rFonts w:hint="eastAsia" w:ascii="宋体" w:hAnsi="宋体" w:cs="宋体"/>
                <w:i w:val="0"/>
                <w:iCs w:val="0"/>
                <w:color w:val="auto"/>
                <w:sz w:val="21"/>
                <w:szCs w:val="21"/>
                <w:u w:val="none"/>
                <w:lang w:val="en-US" w:eastAsia="zh-CN" w:bidi="ar"/>
              </w:rPr>
              <w:t xml:space="preserve">20</w:t>
            </w:r>
            <w:r>
              <w:rPr>
                <w:rFonts w:hint="eastAsia" w:ascii="宋体" w:hAnsi="宋体" w:eastAsia="宋体" w:cs="宋体"/>
                <w:i w:val="0"/>
                <w:iCs w:val="0"/>
                <w:color w:val="auto"/>
                <w:sz w:val="21"/>
                <w:szCs w:val="21"/>
                <w:u w:val="none"/>
                <w:lang w:val="en-US" w:eastAsia="zh-CN" w:bidi="ar"/>
              </w:rPr>
              <w:t xml:space="preserve">±1mm，板上印有线路图，安装有5个6.2V的灯泡、开关、指示灯及10个接线柱。</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#3.溶液盒5套，盒体应采用透明塑料注塑成型，表面光洁透明，外形尺寸：50±2mm×28±2mm×60±2mm，溶液盒盖应采用橡胶压制而成，盖上安装石墨碳棒电极两根，电极直径为4mm，长48mm，外接导线及接线叉。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#4.供电DC6V；可同时演示五组。</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AE1-23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金刚石结构模型</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#1.全塑料制，演示用。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#2.由Φ22mm的碳原子34个、键44根组成。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#3.碳原子为黑色，四孔；键为灰色，直径4mm，长17mm。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AE1-24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石墨结构模型</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#1.全塑料制，演示用。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#2.由Φ22mm的碳原子39个、中键45根、长键14根组成。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#3.碳原子为黑色，五孔；中键为白色、长键为灰色。中键直径4mm，长15mm。长键直径3mm，长29mm。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AE1-25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碳-60结构模型</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#1.全塑料制，演示用。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#2.由Φ22mm的碳原子60个、单中键60根、双中键30根组成。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#3.碳原子为黑色，三孔；单中键为灰色、双中键为紫色。键直径4mm，长15mm。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AE1-26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氯化钠晶体结构模型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#1.全塑料制，演示用。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#2.由Φ22mm的氯原子13个、钠原子14个、长键54根组成。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#3.氯原子为绿色、钠原子为灰色。键直径3mm，长30mm。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AE1-27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金属矿物、金属及合金标本</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#1.主要技术指标：应选取不少于5种以上的标本。 每种标本样品外形尺寸不小于25mm×15mm，标本盒内固定牢靠。标本盒不小于190mm×130mm。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AE1-28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原油常见馏分标本</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主要技术指标：选用常见的、用途较为广泛的馏分，应包含不少于10种，每种标本应具有一定的可见度，能满足正常的教学。标本应特征明显，在标本盒内固定牢靠。每种样品均应有相应标志性质、特征、用途的文字简介，标本盒不小于190mm×130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AE1-29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合成有机高分子材料标本</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#1.主要技术指标：选用不少于十种高分子材料标本。每种材料标本外形尺寸不小于25mm×15mm。在标本盒内固定牢靠。</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AE1-30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新型无机非金属材料标本</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#1.人造牙、氧化铝陶瓷、压电陶瓷、光导纤维均固定于底盒，并有标签。标本盒为塑料制作，上盖为透明塑料，整体外形尺寸：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205mm×125mm×30mm。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AE1-31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走进化学实验室</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#1.12幅，对开，铜版纸；符合国家教材审定通过的各种版本的普通初中化学教材；图形逼真，色彩鲜明，线条清晰；正规单位出版；</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AE1-32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身边的化学物质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#1.13幅，对开，铜版纸。</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AE1-33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物质的组成、性质和变化规律</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#1.8幅，对开，铜版纸；符合国家教材审定通过的各种版本的普通初中化学教材；图形逼真，色彩鲜明，线条清晰；正规单位出版；</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AE1-34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化学与社会发展</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#1.7幅，对开，铜版纸；符合国家教材审定通过的各种版本的普通初中化学教材；图形逼真，色彩鲜明，线条清晰；正规单位出版；</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AE1-35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元素周期表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#1.国家正式出版物，应符合新课标教学的要求，图面字迹清晰，图形、色调准确无误，铜版纸，印刷工艺精良。</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5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学生分组实验仪器</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打孔器刮刀</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#1．本产品由壳体及油石组成。壳体钢材制。壳体在磨刀时应夹紧打孔器，且打孔器正好与油石靠牢。油石为白刚玉料。打孔器刮刀装配牢固，无松动现象。</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酒精喷灯</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#1.结构合理，制作精细、使用方便；仪器由灯壶、灯管、空气调节器、预热壶、加料口等部分组成；空气调节器应能自如的调节空气进量从而调节火焰大小；仪器应密闭而无渗漏；灯壶加工精细，壶底无焊接；</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电加热器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#1.额定电压ＡＣ220Ｖ±5％ 50Ｈz＋5,消耗功率1000Ｗ。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#2.加热盘直径150mm。温控</w:t>
            </w:r>
            <w:r>
              <w:rPr>
                <w:rFonts w:hint="eastAsia" w:ascii="宋体" w:hAnsi="宋体" w:cs="宋体"/>
                <w:i w:val="0"/>
                <w:iCs w:val="0"/>
                <w:color w:val="auto"/>
                <w:sz w:val="21"/>
                <w:szCs w:val="21"/>
                <w:u w:val="none"/>
                <w:lang w:val="en-US" w:eastAsia="zh-CN" w:bidi="ar"/>
              </w:rPr>
              <w:t xml:space="preserve">旋钮</w:t>
            </w:r>
            <w:r>
              <w:rPr>
                <w:rFonts w:hint="eastAsia" w:ascii="宋体" w:hAnsi="宋体" w:eastAsia="宋体" w:cs="宋体"/>
                <w:i w:val="0"/>
                <w:iCs w:val="0"/>
                <w:color w:val="auto"/>
                <w:sz w:val="21"/>
                <w:szCs w:val="21"/>
                <w:u w:val="none"/>
                <w:lang w:val="en-US" w:eastAsia="zh-CN" w:bidi="ar"/>
              </w:rPr>
              <w:t xml:space="preserve">控制温度，指示灯显示加热。</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210×210×50(mm)。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-0</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塑料洗瓶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#1、挤压型，由塑料细口瓶和瓶口装置出水管组成。250mL。塑料瓶直径60mm，高100mm，</w:t>
            </w:r>
            <w:r>
              <w:rPr>
                <w:rFonts w:hint="eastAsia" w:ascii="宋体" w:hAnsi="宋体" w:cs="宋体"/>
                <w:i w:val="0"/>
                <w:iCs w:val="0"/>
                <w:color w:val="auto"/>
                <w:sz w:val="21"/>
                <w:szCs w:val="21"/>
                <w:u w:val="none"/>
                <w:lang w:val="en-US" w:eastAsia="zh-CN" w:bidi="ar"/>
              </w:rPr>
              <w:t xml:space="preserve">喷嘴</w:t>
            </w:r>
            <w:r>
              <w:rPr>
                <w:rFonts w:hint="eastAsia" w:ascii="宋体" w:hAnsi="宋体" w:eastAsia="宋体" w:cs="宋体"/>
                <w:i w:val="0"/>
                <w:iCs w:val="0"/>
                <w:color w:val="auto"/>
                <w:sz w:val="21"/>
                <w:szCs w:val="21"/>
                <w:u w:val="none"/>
                <w:lang w:val="en-US" w:eastAsia="zh-CN" w:bidi="ar"/>
              </w:rPr>
              <w:t xml:space="preserve">孔径约1mm。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-0</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试剂瓶托盘</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#1、本盘平时放于药品柜中，尺寸约300mm×200mm×55mm，短边有提耳，一盘内可同时放小试剂瓶30个以内。</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#2、短边两侧有放置试管的孔，单边孔径分别为：Φ20mm孔3个，Φ16mm孔4个，Φ7mm孔4个。材质为耐酸碱塑料注塑成型。</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-0</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实验用品提篮</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#1.提篮外形尺寸约（不带提手）：480mm×280mm×170mm，底部抽屉尺寸约35cm×25mm。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#2.提手部位为圆柱形，高约240mm（装好后的高度）。整体表面刷清漆。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-0</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塑料水槽</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#1.产品为半透明塑料注塑成型。外形尺寸：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250mm×180mm×100mm,水槽表面无瑕疵。</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924"/>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-0</w:t>
            </w:r>
            <w:r>
              <w:rPr>
                <w:rFonts w:hint="eastAsia" w:ascii="宋体" w:hAnsi="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碘升华凝华管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为葫芦状。由玻璃葫芦密封碘和万能夹组成。玻璃葫芦下部为球形、直径约55mm、上部为圆锥形、锥形直径约50mm、高约65mm，球体与锥形底部相通。碘的质量不少于0.3克。万能夹为金属制，表面电镀处理，四爪型，夹口部位应有软垫，手柄直径7mm、长不小于170mm。玻璃熔接平滑均匀，无气泡、无条纹。应耐80℃温差的急冷骤热。</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#1.产品由铸铁矩形底座、立杆、烧瓶夹、大小铁环、垂直夹（2只）、平行夹组成。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210×135mm；立杆直径约Φ12mm，一端有M10×18mm螺纹；烧杯夹为铁制，夹杆尺寸：Φ7*85mm；底座、烧杯夹和立杆表面作防锈处理。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#3.铁环材料直径约6mm，大环内径约98mm，柄长105mm；小环内径约58mm，柄长125mm。垂直和平行夹为铸铝制。</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万能夹</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#1.产品由夹持柄及夹头组成，全钢制，表面电镀处理。上下夹口应转动自如、灵活，最大开口不小于40mm，四爪夹口部位分别配套有4个胶管。</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#1．由铁环和3只脚组成。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#2．铁环内径：≥73mm ，外径：≥90mm，厚度≥4mm。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#3．三只脚与铁环焊接紧固，脚距相等，立放台上时圆环应与台面平行，所支承的容器不得有滑动。脚高：≥155mm，直径≥</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#4.三脚架须经烤漆防锈处理，漆层均匀、牢固。</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#1．产品由金属丝和套在其上的石棉筒组成。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#2．金属丝用Φ1mm左右的钢丝接成等边三角形，三角形的单边长不小于50mm，钢丝接头绞合，绞合长度不小于20㎜。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#3．石棉筒内径为Φ4mm，外径为Φ10mm。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#4．石棉筒应不裂、不缺、坚固、圆滑。金属丝应作防锈处理。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#1．产品由顶板、底板、插杆组成，8孔、8柱，全塑料制。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#2.顶板外形尺寸：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250×28×4.5（mm），8孔分布均匀，孔径≥19.5mm。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#3．底板外形尺寸：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250×60×5（mm），底板8个凹槽应与顶板8孔同心，孔深约2mm。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#4．插杆为长≥3</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mm，直径≥10mm，与底板孔对应成排。</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漏斗架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#1、全木制。漏斗架由漏斗板、支杆及底座三部分组成；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#2、漏斗板表面上有</w:t>
            </w:r>
            <w:r>
              <w:rPr>
                <w:rFonts w:hint="eastAsia" w:ascii="宋体" w:hAnsi="宋体" w:cs="宋体"/>
                <w:i w:val="0"/>
                <w:iCs w:val="0"/>
                <w:color w:val="auto"/>
                <w:sz w:val="21"/>
                <w:szCs w:val="21"/>
                <w:u w:val="none"/>
                <w:lang w:val="en-US" w:eastAsia="zh-CN" w:bidi="ar"/>
              </w:rPr>
              <w:t xml:space="preserve">两</w:t>
            </w:r>
            <w:r>
              <w:rPr>
                <w:rFonts w:hint="eastAsia" w:ascii="宋体" w:hAnsi="宋体" w:eastAsia="宋体" w:cs="宋体"/>
                <w:i w:val="0"/>
                <w:iCs w:val="0"/>
                <w:color w:val="auto"/>
                <w:sz w:val="21"/>
                <w:szCs w:val="21"/>
                <w:u w:val="none"/>
                <w:lang w:val="en-US" w:eastAsia="zh-CN" w:bidi="ar"/>
              </w:rPr>
              <w:t xml:space="preserve">个锥形孔，孔径约28mm；中部有一个台柱及孔，可以套在支杆上并用M6锁紧螺杆固定，板尺寸约195mm×60mm×13mm。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#3、支杆为Φ13×300mm。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#4、底座为长方形：约200mm×80mm×13mm，中部有一个台柱，台柱中间有一个不通的孔，孔与支杆配合适当。</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多用滴管架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#1、与塑料多用滴管配套使用。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#2、外形尺寸：滴管架分上下两层，每层10个插孔，孔径15mm，每层孔板的正下方有对应的穴板，穴内承接滴管的吸泡，可使滴管站直站牢。孔板、穴板和两侧的撑架都可拆卸和安装。</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215mm×55mm×55mm。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学生电源</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输出电压：1.5V－9V直流稳压输出，每1.5V一档共六档。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#2.额定电流：1.5A。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#3.空载电压偏调：±（1％U标＋0.1V）。</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#4.电压稳定性：输入电压在198V－242V间变化，在满载时各档输出电压变化量不大于0.1V。</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#5.负载稳定性：输入电压保持220V不变，负载电流在0至满载范围内变化，各档输出电压变化量不大于1％U标＋0.1V。</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#6.纹波电压：电源电压保持220V，满载时各档纹波电压不大于3mv（有效值）。</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#7.过载保护：当输出电流在额定输出电流值的1.05－1.5倍间自动关断输出。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#8.短路保护：当输出电路短路时，仪器自动关断电压输出。工作电压：220V 50Hz。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#9.机箱采用全塑料注塑成型，外形尺寸：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190mm×160mm×95mm。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酸度计(pH计)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#1.笔式。测量范围：0～14.00pH。</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#2.电源：3×1.5V（AG-13型</w:t>
            </w:r>
            <w:r>
              <w:rPr>
                <w:rFonts w:hint="eastAsia" w:ascii="宋体" w:hAnsi="宋体" w:cs="宋体"/>
                <w:i w:val="0"/>
                <w:iCs w:val="0"/>
                <w:color w:val="auto"/>
                <w:sz w:val="21"/>
                <w:szCs w:val="21"/>
                <w:u w:val="none"/>
                <w:lang w:val="en-US" w:eastAsia="zh-CN" w:bidi="ar"/>
              </w:rPr>
              <w:t xml:space="preserve">纽扣电池</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#3.校准方式：两点校准（PH4.01/6.86）。</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150mm×30mm×15mm。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水电解实验器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#1.使用电源电压：DC16～24V；</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#2.底座（塑料）、玻管两支和锥形嘴等组成；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#3.电极为合金。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#4.玻管：外径15±1mm，长度260±3mm，容积约35mL；</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#5.活塞密封性能良好。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#6.玻件应光洁透明，厚度不小于1mm，烧结口厚薄均匀，平整光滑牢固。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#7.底座稳固，外形尺寸：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50</w:t>
            </w:r>
            <w:r>
              <w:rPr>
                <w:rFonts w:hint="eastAsia" w:ascii="宋体" w:hAnsi="宋体" w:eastAsia="宋体" w:cs="宋体"/>
                <w:i w:val="0"/>
                <w:iCs w:val="0"/>
                <w:color w:val="auto"/>
                <w:sz w:val="21"/>
                <w:szCs w:val="21"/>
                <w:u w:val="none"/>
                <w:lang w:val="en-US" w:eastAsia="zh-CN" w:bidi="ar"/>
              </w:rPr>
              <w:t xml:space="preserve">mm×88mm×24mm。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原电池实验器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#1.由透明塑料容器及盖、电极板（铜板、锌板、铝板各1块）和接线柱组成。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#2.容器为透明塑料注塑成型，盖为ABS塑料注塑成型，盖为黄色。</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#3.电极板尺寸不小于60mm×15mm×1mm，每块板的短边上应安装有与接线柱连接的轴，轴的直径不大于4mm。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#4.接线柱为铜制，固定于盖上，电极板可插入接线柱孔中，用接线柱上的固定螺钉坚固，且可靠。</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-2</w:t>
            </w:r>
            <w:r>
              <w:rPr>
                <w:rFonts w:hint="eastAsia" w:ascii="宋体" w:hAnsi="宋体" w:cs="宋体"/>
                <w:i w:val="0"/>
                <w:iCs w:val="0"/>
                <w:color w:val="auto"/>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初中微型化学实验箱</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为微型器件，由泡沫塑料定位包装。器材包括：烧杯50ml1个、试管2支、小酒精灯1个、玻璃尖管1根、玻璃弯管120度2个、直角弯管带塞1个、直角玻管3个、具支玻管2个、小漏斗1个、玻棒1根、蒸发皿1个、表面皿1个、玻璃瓶4个、药匙1个、水槽1个、多用滴管5个、井穴板2个、乳胶管1根、橡胶塞3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-2</w:t>
            </w: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分子间隔实验器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#1.产品由盛液显示柱、油酸、底座</w:t>
            </w:r>
            <w:r>
              <w:rPr>
                <w:rFonts w:hint="eastAsia" w:ascii="宋体" w:hAnsi="宋体" w:cs="宋体"/>
                <w:i w:val="0"/>
                <w:iCs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组成。显示柱带底座为透明塑料注塑成型，容量不小于20mL，高度不小于100mm。底盘直径45mm。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-2</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微型溶液导电实验器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#1.主要由溶液盒、电极、开关、灯座、灯泡组成。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#2.溶液盒为透明塑料制成，带盖，外形尺寸：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78mm×4</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mm×50mm。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#3.电极为碳棒，直径≥3mm，长≥35mm。                         </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84"/>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-2</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初中分子结构模型</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#1.为球球式，演示用，全塑料注塑成型。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#2．碳原子为黑色，直径22mm；四面6个、</w:t>
            </w:r>
            <w:r>
              <w:rPr>
                <w:rFonts w:hint="eastAsia" w:ascii="宋体" w:hAnsi="宋体" w:cs="宋体"/>
                <w:i w:val="0"/>
                <w:iCs w:val="0"/>
                <w:color w:val="auto"/>
                <w:sz w:val="21"/>
                <w:szCs w:val="21"/>
                <w:u w:val="none"/>
                <w:lang w:val="en-US" w:eastAsia="zh-CN" w:bidi="ar"/>
              </w:rPr>
              <w:t xml:space="preserve">三面</w:t>
            </w:r>
            <w:r>
              <w:rPr>
                <w:rFonts w:hint="eastAsia" w:ascii="宋体" w:hAnsi="宋体" w:eastAsia="宋体" w:cs="宋体"/>
                <w:i w:val="0"/>
                <w:iCs w:val="0"/>
                <w:color w:val="auto"/>
                <w:sz w:val="21"/>
                <w:szCs w:val="21"/>
                <w:u w:val="none"/>
                <w:lang w:val="en-US" w:eastAsia="zh-CN" w:bidi="ar"/>
              </w:rPr>
              <w:t xml:space="preserve">14个、二面2个。</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#3.氢原子为橙色，带键脚，直径15mm，共20个。</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#4.氧原子为天蓝色，直径22mm；二面3个，一面2个。</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#5.氮原子为深蓝色，直径22mm，四面1个、三面1个、二面1个、一面2个。</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#6.硫原子为淡黄，直径22mm，二面1个。</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#7.氯原子草绿，直径22mm，一面2个。</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#8.金属为银灰，直径22mm，六面1个。</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#9.塑料单键20个，塑料双键10个。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-2</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碳的同素异形体结构模型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#1.学生用，小型。可组装成</w:t>
            </w:r>
            <w:r>
              <w:rPr>
                <w:rFonts w:hint="eastAsia" w:ascii="宋体" w:hAnsi="宋体" w:cs="宋体"/>
                <w:i w:val="0"/>
                <w:iCs w:val="0"/>
                <w:color w:val="auto"/>
                <w:sz w:val="21"/>
                <w:szCs w:val="21"/>
                <w:u w:val="none"/>
                <w:lang w:val="en-US" w:eastAsia="zh-CN" w:bidi="ar"/>
              </w:rPr>
              <w:t xml:space="preserve">金刚石</w:t>
            </w:r>
            <w:r>
              <w:rPr>
                <w:rFonts w:hint="eastAsia" w:ascii="宋体" w:hAnsi="宋体" w:eastAsia="宋体" w:cs="宋体"/>
                <w:i w:val="0"/>
                <w:iCs w:val="0"/>
                <w:color w:val="auto"/>
                <w:sz w:val="21"/>
                <w:szCs w:val="21"/>
                <w:u w:val="none"/>
                <w:lang w:val="en-US" w:eastAsia="zh-CN" w:bidi="ar"/>
              </w:rPr>
              <w:t xml:space="preserve">、石墨、碳60三种结构模型。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#2.球体直径8mm，为黑色。</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#3.连接管均为透明塑料管，管长约22mm，管孔与球体键配合适宜。</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strike w:val="0"/>
                <w:color w:val="auto"/>
                <w:sz w:val="21"/>
                <w:szCs w:val="21"/>
                <w:u w:val="none"/>
              </w:rPr>
              <w:suppressLineNumbers w:val="0"/>
            </w:pPr>
            <w:r>
              <w:rPr>
                <w:rFonts w:hint="eastAsia" w:ascii="宋体" w:hAnsi="宋体" w:eastAsia="宋体" w:cs="宋体"/>
                <w:i w:val="0"/>
                <w:iCs w:val="0"/>
                <w:strike w:val="0"/>
                <w:color w:val="auto"/>
                <w:sz w:val="21"/>
                <w:szCs w:val="21"/>
                <w:u w:val="none"/>
                <w:lang w:val="en-US" w:eastAsia="zh-CN" w:bidi="ar"/>
              </w:rPr>
              <w:t xml:space="preserve">AE</w:t>
            </w:r>
            <w:r>
              <w:rPr>
                <w:rFonts w:hint="eastAsia" w:ascii="宋体" w:hAnsi="宋体" w:cs="宋体"/>
                <w:i w:val="0"/>
                <w:iCs w:val="0"/>
                <w:strike w:val="0"/>
                <w:color w:val="auto"/>
                <w:sz w:val="21"/>
                <w:szCs w:val="21"/>
                <w:u w:val="none"/>
                <w:lang w:val="en-US" w:eastAsia="zh-CN" w:bidi="ar"/>
              </w:rPr>
              <w:t xml:space="preserve">2</w:t>
            </w:r>
            <w:r>
              <w:rPr>
                <w:rFonts w:hint="eastAsia" w:ascii="宋体" w:hAnsi="宋体" w:eastAsia="宋体" w:cs="宋体"/>
                <w:i w:val="0"/>
                <w:iCs w:val="0"/>
                <w:strike w:val="0"/>
                <w:color w:val="auto"/>
                <w:sz w:val="21"/>
                <w:szCs w:val="21"/>
                <w:u w:val="none"/>
                <w:lang w:val="en-US" w:eastAsia="zh-CN" w:bidi="ar"/>
              </w:rPr>
              <w:t xml:space="preserve">-2</w:t>
            </w:r>
            <w:r>
              <w:rPr>
                <w:rFonts w:hint="eastAsia" w:ascii="宋体" w:hAnsi="宋体" w:cs="宋体"/>
                <w:i w:val="0"/>
                <w:iCs w:val="0"/>
                <w:strike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strike w:val="0"/>
                <w:color w:val="auto"/>
                <w:sz w:val="21"/>
                <w:szCs w:val="21"/>
                <w:u w:val="none"/>
              </w:rPr>
              <w:suppressLineNumbers w:val="0"/>
            </w:pPr>
            <w:r>
              <w:rPr>
                <w:rFonts w:hint="eastAsia" w:ascii="宋体" w:hAnsi="宋体" w:eastAsia="宋体" w:cs="宋体"/>
                <w:i w:val="0"/>
                <w:iCs w:val="0"/>
                <w:strike w:val="0"/>
                <w:color w:val="auto"/>
                <w:sz w:val="21"/>
                <w:szCs w:val="21"/>
                <w:u w:val="none"/>
                <w:lang w:val="en-US" w:eastAsia="zh-CN" w:bidi="ar"/>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strike w:val="0"/>
                <w:color w:val="auto"/>
                <w:sz w:val="21"/>
                <w:szCs w:val="21"/>
                <w:u w:val="none"/>
              </w:rPr>
              <w:suppressLineNumbers w:val="0"/>
            </w:pPr>
            <w:r>
              <w:rPr>
                <w:rFonts w:hint="eastAsia" w:ascii="宋体" w:hAnsi="宋体" w:eastAsia="宋体" w:cs="宋体"/>
                <w:i w:val="0"/>
                <w:iCs w:val="0"/>
                <w:strike w:val="0"/>
                <w:color w:val="auto"/>
                <w:sz w:val="21"/>
                <w:szCs w:val="21"/>
                <w:u w:val="none"/>
                <w:lang w:val="en-US" w:eastAsia="zh-CN" w:bidi="ar"/>
              </w:rPr>
              <w:t xml:space="preserve">#1.红液，0～100℃。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strike w:val="0"/>
                <w:color w:val="auto"/>
                <w:sz w:val="21"/>
                <w:szCs w:val="21"/>
                <w:u w:val="none"/>
              </w:rPr>
              <w:suppressLineNumbers w:val="0"/>
            </w:pPr>
            <w:r>
              <w:rPr>
                <w:rFonts w:hint="eastAsia" w:ascii="宋体" w:hAnsi="宋体" w:eastAsia="宋体" w:cs="宋体"/>
                <w:i w:val="0"/>
                <w:iCs w:val="0"/>
                <w:strike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strike w:val="0"/>
                <w:color w:val="auto"/>
                <w:sz w:val="21"/>
                <w:szCs w:val="21"/>
                <w:u w:val="none"/>
              </w:rPr>
              <w:suppressLineNumbers w:val="0"/>
            </w:pPr>
            <w:r>
              <w:rPr>
                <w:rFonts w:hint="eastAsia" w:ascii="宋体" w:hAnsi="宋体" w:eastAsia="宋体" w:cs="宋体"/>
                <w:i w:val="0"/>
                <w:iCs w:val="0"/>
                <w:strike w:val="0"/>
                <w:color w:val="auto"/>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strike w:val="0"/>
                <w:color w:val="auto"/>
                <w:sz w:val="21"/>
                <w:szCs w:val="21"/>
                <w:u w:val="none"/>
              </w:rPr>
              <w:suppressLineNumbers w:val="0"/>
            </w:pPr>
            <w:r>
              <w:rPr>
                <w:rFonts w:hint="eastAsia" w:ascii="宋体" w:hAnsi="宋体" w:eastAsia="宋体" w:cs="宋体"/>
                <w:i w:val="0"/>
                <w:iCs w:val="0"/>
                <w:strike w:val="0"/>
                <w:color w:val="auto"/>
                <w:sz w:val="21"/>
                <w:szCs w:val="21"/>
                <w:u w:val="none"/>
                <w:lang w:val="en-US" w:eastAsia="zh-CN" w:bidi="ar"/>
              </w:rPr>
              <w:t xml:space="preserve">AE</w:t>
            </w:r>
            <w:r>
              <w:rPr>
                <w:rFonts w:hint="eastAsia" w:ascii="宋体" w:hAnsi="宋体" w:cs="宋体"/>
                <w:i w:val="0"/>
                <w:iCs w:val="0"/>
                <w:strike w:val="0"/>
                <w:color w:val="auto"/>
                <w:sz w:val="21"/>
                <w:szCs w:val="21"/>
                <w:u w:val="none"/>
                <w:lang w:val="en-US" w:eastAsia="zh-CN" w:bidi="ar"/>
              </w:rPr>
              <w:t xml:space="preserve">2</w:t>
            </w:r>
            <w:r>
              <w:rPr>
                <w:rFonts w:hint="eastAsia" w:ascii="宋体" w:hAnsi="宋体" w:eastAsia="宋体" w:cs="宋体"/>
                <w:i w:val="0"/>
                <w:iCs w:val="0"/>
                <w:strike w:val="0"/>
                <w:color w:val="auto"/>
                <w:sz w:val="21"/>
                <w:szCs w:val="21"/>
                <w:u w:val="none"/>
                <w:lang w:val="en-US" w:eastAsia="zh-CN" w:bidi="ar"/>
              </w:rPr>
              <w:t xml:space="preserve">-2</w:t>
            </w:r>
            <w:r>
              <w:rPr>
                <w:rFonts w:hint="eastAsia" w:ascii="宋体" w:hAnsi="宋体" w:cs="宋体"/>
                <w:i w:val="0"/>
                <w:iCs w:val="0"/>
                <w:strike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strike w:val="0"/>
                <w:color w:val="auto"/>
                <w:sz w:val="21"/>
                <w:szCs w:val="21"/>
                <w:u w:val="none"/>
                <w:lang w:val="en-US"/>
              </w:rPr>
              <w:suppressLineNumbers w:val="0"/>
            </w:pPr>
            <w:r>
              <w:rPr>
                <w:rFonts w:hint="eastAsia" w:ascii="宋体" w:hAnsi="宋体" w:cs="宋体"/>
                <w:i w:val="0"/>
                <w:iCs w:val="0"/>
                <w:strike w:val="0"/>
                <w:color w:val="auto"/>
                <w:sz w:val="21"/>
                <w:szCs w:val="21"/>
                <w:u w:val="none"/>
                <w:lang w:val="en-US" w:eastAsia="zh-CN" w:bidi="ar"/>
              </w:rPr>
              <w:t xml:space="preserve">实验室</w:t>
            </w:r>
            <w:r>
              <w:rPr>
                <w:rFonts w:hint="eastAsia" w:ascii="宋体" w:hAnsi="宋体" w:eastAsia="宋体" w:cs="宋体"/>
                <w:i w:val="0"/>
                <w:iCs w:val="0"/>
                <w:strike w:val="0"/>
                <w:color w:val="auto"/>
                <w:sz w:val="21"/>
                <w:szCs w:val="21"/>
                <w:u w:val="none"/>
                <w:lang w:val="en-US" w:eastAsia="zh-CN" w:bidi="ar"/>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strike w:val="0"/>
                <w:color w:val="auto"/>
                <w:sz w:val="21"/>
                <w:szCs w:val="21"/>
                <w:u w:val="none"/>
              </w:rPr>
              <w:suppressLineNumbers w:val="0"/>
            </w:pPr>
            <w:r>
              <w:rPr>
                <w:rFonts w:hint="eastAsia" w:ascii="宋体" w:hAnsi="宋体" w:eastAsia="宋体" w:cs="宋体"/>
                <w:i w:val="0"/>
                <w:iCs w:val="0"/>
                <w:strike w:val="0"/>
                <w:color w:val="auto"/>
                <w:sz w:val="21"/>
                <w:szCs w:val="21"/>
                <w:u w:val="none"/>
                <w:lang w:val="en-US" w:eastAsia="zh-CN" w:bidi="ar"/>
              </w:rPr>
              <w:t xml:space="preserve">#1.水银，0～200℃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strike w:val="0"/>
                <w:color w:val="auto"/>
                <w:sz w:val="21"/>
                <w:szCs w:val="21"/>
                <w:u w:val="none"/>
              </w:rPr>
              <w:suppressLineNumbers w:val="0"/>
            </w:pPr>
            <w:r>
              <w:rPr>
                <w:rFonts w:hint="eastAsia" w:ascii="宋体" w:hAnsi="宋体" w:eastAsia="宋体" w:cs="宋体"/>
                <w:i w:val="0"/>
                <w:iCs w:val="0"/>
                <w:strike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strike w:val="0"/>
                <w:color w:val="auto"/>
                <w:sz w:val="21"/>
                <w:szCs w:val="21"/>
                <w:u w:val="none"/>
              </w:rPr>
              <w:suppressLineNumbers w:val="0"/>
            </w:pPr>
            <w:r>
              <w:rPr>
                <w:rFonts w:hint="eastAsia" w:ascii="宋体" w:hAnsi="宋体" w:eastAsia="宋体" w:cs="宋体"/>
                <w:i w:val="0"/>
                <w:iCs w:val="0"/>
                <w:strike w:val="0"/>
                <w:color w:val="auto"/>
                <w:sz w:val="21"/>
                <w:szCs w:val="21"/>
                <w:u w:val="none"/>
                <w:lang w:val="en-US" w:eastAsia="zh-CN" w:bidi="ar"/>
              </w:rPr>
              <w:t xml:space="preserve">支</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-2</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贮气装置</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#1.贮气装置用透明塑料和ABS工程塑料注塑成型、表面清晰、无划痕、气泡、飞边等现象。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#2.贮气装置外形尺寸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：直径160mm,高200mm。表面标有刻度线，最小刻度200mL，容量3000mL。</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#3.各焊接部位牢固、密封、无漏气现象。</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-2</w:t>
            </w:r>
            <w:r>
              <w:rPr>
                <w:rFonts w:hint="eastAsia" w:ascii="宋体" w:hAnsi="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量杯</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#1、止水夹</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滴定管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#1、酸式，25mL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滴定管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#1、碱式，25mL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#1、Φ12mm×70mm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#1、Φ15mm×150mm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-4</w:t>
            </w:r>
            <w:r>
              <w:rPr>
                <w:rFonts w:hint="eastAsia" w:ascii="宋体" w:hAnsi="宋体" w:cs="宋体"/>
                <w:i w:val="0"/>
                <w:iCs w:val="0"/>
                <w:color w:val="auto"/>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#1、Φ18mm×180mm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-4</w:t>
            </w: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#1、Φ20mm×200mm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-4</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#1、Φ32mm×200mm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-4</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具支试管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#1、Φ20mm×200mm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-4</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硬质玻璃管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#1、Φ15mm×150mm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-4</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硬质玻璃管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#1、Φ20mm×250mm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-4</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-4</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-4</w:t>
            </w:r>
            <w:r>
              <w:rPr>
                <w:rFonts w:hint="eastAsia" w:ascii="宋体" w:hAnsi="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-5</w:t>
            </w:r>
            <w:r>
              <w:rPr>
                <w:rFonts w:hint="eastAsia" w:ascii="宋体" w:hAnsi="宋体" w:cs="宋体"/>
                <w:i w:val="0"/>
                <w:iCs w:val="0"/>
                <w:color w:val="auto"/>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-5</w:t>
            </w: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-5</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烧瓶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#1、圆、长，250mL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-5</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烧瓶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#1、平、长，250mL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-5</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-5</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-5</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蒸馏烧瓶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-5</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-5</w:t>
            </w:r>
            <w:r>
              <w:rPr>
                <w:rFonts w:hint="eastAsia" w:ascii="宋体" w:hAnsi="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抽滤瓶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抽气管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#1、抽气用</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-6</w:t>
            </w:r>
            <w:r>
              <w:rPr>
                <w:rFonts w:hint="eastAsia" w:ascii="宋体" w:hAnsi="宋体" w:cs="宋体"/>
                <w:i w:val="0"/>
                <w:iCs w:val="0"/>
                <w:color w:val="auto"/>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干燥器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#1、160mm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-6</w:t>
            </w: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气体发生器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-6</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冷凝器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#1、直固，300mm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-6</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牛角管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#1、弯形，Φ18mm×150mm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-6</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漏斗</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-6</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漏斗</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-6</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安全漏斗</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#1、直形</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-6</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安全漏斗</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#1、双球</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-6</w:t>
            </w:r>
            <w:r>
              <w:rPr>
                <w:rFonts w:hint="eastAsia" w:ascii="宋体" w:hAnsi="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分液漏斗</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#1、锥形，100mL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分液漏斗</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#1、梨形，50mL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-7</w:t>
            </w:r>
            <w:r>
              <w:rPr>
                <w:rFonts w:hint="eastAsia" w:ascii="宋体" w:hAnsi="宋体" w:cs="宋体"/>
                <w:i w:val="0"/>
                <w:iCs w:val="0"/>
                <w:color w:val="auto"/>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布氏漏斗</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#1、瓷，80mm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-7</w:t>
            </w: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T形管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#1、直径Φ7－8mm，直通管长度100mm，垂直管长度50mm。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-7</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Y形管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弯管长：50mm±5mm；支管长：50mm±5mm；管厚：1±0.2mm；管径：Φ7mm－8mm；全高：100mm±5mm。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 弯管角度：60º±3º。</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-7</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滴管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由玻璃滴管和胶头组成。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 规格：150mm；管身Φ7mm－8mm；管全长：150mm±10mm；喇叭口Φ10mm±1mm。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 球距上管口长：50mm±5mm。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-7</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离心管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#1、l0mL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-7</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干燥管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#1、单球，150mm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-7</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干燥管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#1、U型，Φ15mm×150mm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-7</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活塞</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#1、直形</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-7</w:t>
            </w:r>
            <w:r>
              <w:rPr>
                <w:rFonts w:hint="eastAsia" w:ascii="宋体" w:hAnsi="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圆水槽</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#1、Φ200mm×100mm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圆水槽</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#1、Φ270mm×140mm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-8</w:t>
            </w:r>
            <w:r>
              <w:rPr>
                <w:rFonts w:hint="eastAsia" w:ascii="宋体" w:hAnsi="宋体" w:cs="宋体"/>
                <w:i w:val="0"/>
                <w:iCs w:val="0"/>
                <w:color w:val="auto"/>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玻璃钟罩</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#1、Φ150mm×280mm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-8</w:t>
            </w: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集气瓶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#1、125mL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-8</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集气瓶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-8</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液封除毒气集气瓶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-8</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-8</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#1、125mL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-8</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-8</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-8</w:t>
            </w:r>
            <w:r>
              <w:rPr>
                <w:rFonts w:hint="eastAsia" w:ascii="宋体" w:hAnsi="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#1、茶，60mL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#1、茶，125mL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-9</w:t>
            </w:r>
            <w:r>
              <w:rPr>
                <w:rFonts w:hint="eastAsia" w:ascii="宋体" w:hAnsi="宋体" w:cs="宋体"/>
                <w:i w:val="0"/>
                <w:iCs w:val="0"/>
                <w:color w:val="auto"/>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#1、茶，250mL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-9</w:t>
            </w: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-9</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#1、125mL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-9</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-9</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-9</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-9</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-9</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#1、茶，60mL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-9</w:t>
            </w:r>
            <w:r>
              <w:rPr>
                <w:rFonts w:hint="eastAsia" w:ascii="宋体" w:hAnsi="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#1、茶，125mL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#1、茶，250mL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-10</w:t>
            </w:r>
            <w:r>
              <w:rPr>
                <w:rFonts w:hint="eastAsia" w:ascii="宋体" w:hAnsi="宋体" w:cs="宋体"/>
                <w:i w:val="0"/>
                <w:iCs w:val="0"/>
                <w:color w:val="auto"/>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#1、茶，500mL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-10</w:t>
            </w: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#1、茶，1000mL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-10</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-10</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-10</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#1、茶，30mL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-10</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#1、茶，60mL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-10</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橡胶管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#1、内6mm外10mm  产品用天然橡胶制造。</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-10</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止水夹</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#1、45*50mm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-10</w:t>
            </w:r>
            <w:r>
              <w:rPr>
                <w:rFonts w:hint="eastAsia" w:ascii="宋体" w:hAnsi="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坩埚</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#1、瓷，30mL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坩埚钳</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#1、产品钢制，表面电镀处理。总长度约220mm。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#2、钳子的夹持端为弯头，端头应有齿纹，便于夹住物体，吻合一致。</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-11</w:t>
            </w:r>
            <w:r>
              <w:rPr>
                <w:rFonts w:hint="eastAsia" w:ascii="宋体" w:hAnsi="宋体" w:cs="宋体"/>
                <w:i w:val="0"/>
                <w:iCs w:val="0"/>
                <w:color w:val="auto"/>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烧杯夹</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产品用厚度为≥2㎜的不锈钢板制造。总长度为300mm，宽度为20㎜。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 产品制作应光滑、平整、无缺陷。</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 产品的夹持端为菱形，吻合应一致。</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-11</w:t>
            </w: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镊子用不锈钢板材制成。镊子的宽度不小于9mm，镊子的长度为160±5mm。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 镊子制作应光滑、平整、无缺陷。</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 镊子的夹持端应有齿纹，便于夹住物体，吻合一致，弹性好。</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-11</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#1、产品为竹制品。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#2、长度170mm，宽度12mm，厚度7.5mm。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#3、试管夹弹簧有足够弹性，作防锈处理。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-11</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止水皮管夹</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#1.产品用直径Φ1.5mm的钢丝制成。应作防锈处理。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#2.产品制作应光滑、平整、无缺陷。</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#3.产品的夹持角度不小于60º。夹子的夹持应可靠，吻合好，弹性好。</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-11</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螺旋皮管夹</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#1.产品用钢材制成，应作防锈处理。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#2.产品制作应光滑、平整、无缺陷。</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#3.产品的夹持范围最大应不小于20mm，夹子的夹持应可靠，吻合好。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#4.螺母与螺杆螺纹应吻合好，旋动轻便，不应有卡死现象。</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-11</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陶土网</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#1.产品由金属网和附在网上的石棉组成。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#2.金属网由Φ0.1mm左右的钢丝编织而成，密度均匀，织网密度间距不大于2mm，金属网为边长不小于100mm的正方形，边缘应作卷边处理，不散网、不翘丝。</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#3.金属网上所附石棉圈为双面附着的正圆形，直径不小于Φ100mm，厚度为3mm左右，要求不散、不裂、不脱落。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#4.整体应平整、美观，不翘角。</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-11</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燃烧匙</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#1．产品由半圆面和金属丝结合制成。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#2．半圆面为铜材制造，直径Φ为20mm左右。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#3．金属丝约用Φ2mm的钢丝或铁丝制造，长度为240mm左右。</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-11</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#1.药匙采用塑料制成。药匙的宽度约10mm，长度为120±5mm。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#2.产品制作应光滑、平整、无</w:t>
            </w:r>
            <w:r>
              <w:rPr>
                <w:rFonts w:hint="eastAsia" w:ascii="宋体" w:hAnsi="宋体" w:cs="宋体"/>
                <w:i w:val="0"/>
                <w:iCs w:val="0"/>
                <w:color w:val="auto"/>
                <w:sz w:val="21"/>
                <w:szCs w:val="21"/>
                <w:u w:val="none"/>
                <w:lang w:val="en-US" w:eastAsia="zh-CN" w:bidi="ar"/>
              </w:rPr>
              <w:t xml:space="preserve">毛刺</w:t>
            </w:r>
            <w:r>
              <w:rPr>
                <w:rFonts w:hint="eastAsia" w:ascii="宋体" w:hAnsi="宋体" w:eastAsia="宋体" w:cs="宋体"/>
                <w:i w:val="0"/>
                <w:iCs w:val="0"/>
                <w:color w:val="auto"/>
                <w:sz w:val="21"/>
                <w:szCs w:val="21"/>
                <w:u w:val="none"/>
                <w:lang w:val="en-US" w:eastAsia="zh-CN" w:bidi="ar"/>
              </w:rPr>
              <w:t xml:space="preserve">、无缺陷。</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-11</w:t>
            </w:r>
            <w:r>
              <w:rPr>
                <w:rFonts w:hint="eastAsia" w:ascii="宋体" w:hAnsi="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玻璃管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#1.Φ5～Φ6mm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玻璃管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#1.Φ7～Φ8mm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-12</w:t>
            </w:r>
            <w:r>
              <w:rPr>
                <w:rFonts w:hint="eastAsia" w:ascii="宋体" w:hAnsi="宋体" w:cs="宋体"/>
                <w:i w:val="0"/>
                <w:iCs w:val="0"/>
                <w:color w:val="auto"/>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#1.Φ3～Φ4mm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-12</w:t>
            </w: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#1.Φ5～Φ6mm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根</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-12</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软胶塞</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#1.产品用天然橡胶制造，白色。</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#2.每包软胶塞由0~10号的胶塞组成，要求搭配合理。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根</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-12</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橡胶管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#1.产品用优质天然橡胶制造。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#2.产品内径为7~8mm，壁厚≥1mm。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根</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-12</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乳胶管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#1.产品用乳胶制造。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#2.产品内径为5~7mm。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-12</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#1.产品由金属丝和绞合在其上的猪鬃毛制成，大、中、小各一个。</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#2.金属丝用约Φ1.5mm左右的镀锌铁丝2根绞合，总长度不小于200mm。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#3.制成的试管刷要求不散、不脱毛。</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-12</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烧瓶刷</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#1.产品由金属丝和绞合在其上的猪鬃毛制成。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#2.金属丝用约Φ1.5mm左右的镀锌铁丝2根绞合，总长度不小于200mm。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#3.制成的烧瓶刷呈鼓形，最大直径约Φ60mm，长度约100mm，要求不散、脱毛。</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-12</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结晶皿</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-12</w:t>
            </w:r>
            <w:r>
              <w:rPr>
                <w:rFonts w:hint="eastAsia" w:ascii="宋体" w:hAnsi="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表面皿</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表面皿</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-13</w:t>
            </w:r>
            <w:r>
              <w:rPr>
                <w:rFonts w:hint="eastAsia" w:ascii="宋体" w:hAnsi="宋体" w:cs="宋体"/>
                <w:i w:val="0"/>
                <w:iCs w:val="0"/>
                <w:color w:val="auto"/>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研钵</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#1、瓷，60mm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-13</w:t>
            </w: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研钵</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#1、瓷，90mm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-13</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蒸发皿</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#1、瓷，60mm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-13</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蒸发皿</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#1、瓷，100mm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-13</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反应板</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#1、至少6穴</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-13</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井穴板</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#1、产品为透明塑料注塑料成型。9孔，0.7mL×9。整体外形尺寸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：115mm×11mm×15mm。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-13</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井穴板</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#1、产品为透明塑料注塑料成型。6孔，5mL×6。整体外形尺寸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：80mm×55mm×22mm。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-13</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胶头滴管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#1、1ml、2ml、3ml、5ml、10ml各20个</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-13</w:t>
            </w:r>
            <w:r>
              <w:rPr>
                <w:rFonts w:hint="eastAsia" w:ascii="宋体" w:hAnsi="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塑料多用滴管</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#1、4mL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初中化学实验材料</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#1、黄铜片、蜡烛、剪刀、焊锡丝、炭棒2根、导线两色各1米、电灯泡（220V、25W）、木板、电珠（1.5V、2.5V、3.8V、4.8V、6.2V各2只）、砂纸。</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份</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#1、Φ4.5mm胶柄</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#1、Φ4.5mm胶柄</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钢丝钳</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#1、规格：150mm，镀铬双色塑柄，45﹟钢；</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手锤</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#1、0.5kg</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锉刀</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#1、平中齿，150mm，带手柄</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#1、民用，150mm，尖头</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把</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玻璃瓶盖开启器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#1、产品由内丝旋套（塑料制）及塑料手柄带螺旋钢丝组成。供开启玻璃瓶口的软木塞。</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#1、纯白色，由布料制成，长度不小于90cm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#1、防机械冲击，全塑料制，侧面完全遮挡。</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防护面罩</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#1.产品由透明有机玻璃和帽架组成。面罩应清洁透明，应无波纹、无划伤、裂纹。帽架应采用韧性好的材料制作，不易拆断、变形。面罩与帽架的连接应牢固可靠。帽架系带应</w:t>
            </w:r>
            <w:r>
              <w:rPr>
                <w:rFonts w:hint="eastAsia" w:ascii="宋体" w:hAnsi="宋体" w:cs="宋体"/>
                <w:i w:val="0"/>
                <w:iCs w:val="0"/>
                <w:color w:val="auto"/>
                <w:sz w:val="21"/>
                <w:szCs w:val="21"/>
                <w:u w:val="none"/>
                <w:lang w:val="en-US" w:eastAsia="zh-CN" w:bidi="ar"/>
              </w:rPr>
              <w:t xml:space="preserve">易于</w:t>
            </w:r>
            <w:r>
              <w:rPr>
                <w:rFonts w:hint="eastAsia" w:ascii="宋体" w:hAnsi="宋体" w:eastAsia="宋体" w:cs="宋体"/>
                <w:i w:val="0"/>
                <w:iCs w:val="0"/>
                <w:color w:val="auto"/>
                <w:sz w:val="21"/>
                <w:szCs w:val="21"/>
                <w:u w:val="none"/>
                <w:lang w:val="en-US" w:eastAsia="zh-CN" w:bidi="ar"/>
              </w:rPr>
              <w:t xml:space="preserve">调整松紧。</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防毒口罩</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#1．直接式防毒口罩。由主体、滤毒盒、滤毒材料、吸气阀和系带组成。口罩能完全罩住口、鼻不漏气。系带可调节松紧。防毒时间不小于45分钟。有关口罩的数据： 口罩重量：≤300g；呼气阻力：≤49Pa；吸气阻力：≤20Pa；泄漏率：≤2%；下方视野：&gt;35º。</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手套</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#1、乳胶，优质</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耐酸手套</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#1.产品为橡胶制品，长袖口带五指套。袖长不短于20cm.。应耐强酸、强碱及氧化剂、还原剂等化学药品试剂的腐蚀，并结实耐用。冬季不得发硬，夏季不得粘连。各部位应完整严密，无开裂和小孔。</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#1.玻璃制品。符合卫生器械的规定。方便冲洗眼睛使用。</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简易急救箱</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急救箱内应配备以下药品及器材：酒精棉球1瓶；红霉素软膏1支；甲紫溶液1瓶；碘酒1瓶；医用脱脂纱布1包；医用棉签1包；医用绷带1卷；橡皮胶1卷；创可贴10条；旅行剪刀1把；镊子1把。塑料箱1个。碳酸氢钠溶液1瓶。硼酸溶液1瓶。</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实验防护屏</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#1.产品为三片折叠式结构，由透明度好的有机玻璃制造。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#2.尺寸300mm×290mm一块，尺寸300mm×145mm二块，厚度不小于2mm。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#3.防护屏支撑牢靠，平稳。合叶与屏板连接牢靠，经多次开合不得脱落。 </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木炭、植物油、面粉、味精、食醋、洗洁精、铁钉、棉花、牛奶、鸡蛋等</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#1、木炭、植物油、面粉、味精、食醋、</w:t>
            </w:r>
            <w:r>
              <w:rPr>
                <w:rFonts w:hint="eastAsia" w:ascii="宋体" w:hAnsi="宋体" w:cs="宋体"/>
                <w:i w:val="0"/>
                <w:iCs w:val="0"/>
                <w:color w:val="auto"/>
                <w:sz w:val="21"/>
                <w:szCs w:val="21"/>
                <w:u w:val="none"/>
                <w:lang w:val="en-US" w:eastAsia="zh-CN" w:bidi="ar"/>
              </w:rPr>
              <w:t xml:space="preserve">洗洁精</w:t>
            </w:r>
            <w:r>
              <w:rPr>
                <w:rFonts w:hint="eastAsia" w:ascii="宋体" w:hAnsi="宋体" w:eastAsia="宋体" w:cs="宋体"/>
                <w:i w:val="0"/>
                <w:iCs w:val="0"/>
                <w:color w:val="auto"/>
                <w:sz w:val="21"/>
                <w:szCs w:val="21"/>
                <w:u w:val="none"/>
                <w:lang w:val="en-US" w:eastAsia="zh-CN" w:bidi="ar"/>
              </w:rPr>
              <w:t xml:space="preserve">、铁钉、棉花</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静电仪</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#1、测量范围：0-±20KV；分辨率：低范围±0.1KV;高范围士1KV；测量误差：±10；尺寸规格：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165*25*115MM/200G</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温湿度仪</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#1、温度范围：-40~80℃（可外接探头-40~120℃/-40~125℃），湿度范围：0~99.9%RH；精度：温度：±0.3℃（25℃)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湿度：±2%RH（60%RH)；供电电压：5V1.5A供电；通讯接口：支持WIFI无线通讯接口，支持连接2.4GHz wif网络，数据缓存：5万条数据缓存(循环储存)；尺寸：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20*30*3cm，电源线长1米。</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有毒气体检测仪</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#1、复合式多气体检测仪，≥2.0英寸LCD液晶屏，尺寸：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130*6</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*30mm；采样方式：自然扩散式；报警方式：声音、振动、灯光等三重报警方式。</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#1、48CM+13CM，干粉灭火剂</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灭火毯</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2*2m，使用温度：800℃，材质：玻璃纤维</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消防沙箱配铲子</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40*40*40</w:t>
            </w:r>
            <w:r>
              <w:rPr>
                <w:rFonts w:hint="eastAsia" w:ascii="宋体" w:hAnsi="宋体" w:cs="宋体"/>
                <w:i w:val="0"/>
                <w:iCs w:val="0"/>
                <w:color w:val="auto"/>
                <w:sz w:val="21"/>
                <w:szCs w:val="21"/>
                <w:u w:val="none"/>
                <w:lang w:val="en-US" w:eastAsia="zh-CN" w:bidi="ar"/>
              </w:rPr>
              <w:t xml:space="preserve">mm</w:t>
            </w:r>
            <w:r>
              <w:rPr>
                <w:rFonts w:hint="eastAsia" w:ascii="宋体" w:hAnsi="宋体" w:eastAsia="宋体" w:cs="宋体"/>
                <w:i w:val="0"/>
                <w:iCs w:val="0"/>
                <w:color w:val="auto"/>
                <w:sz w:val="21"/>
                <w:szCs w:val="21"/>
                <w:u w:val="none"/>
                <w:lang w:val="en-US" w:eastAsia="zh-CN" w:bidi="ar"/>
              </w:rPr>
              <w:t xml:space="preserve">，箱体厚度：0.4mm，容积：0.06m³，箱体材质：铁，颜色：红色；铲子：V型铲尖。</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危废品分集桶</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#1、≥22.6L</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安全信息牌</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#1、PVC塑料板，</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30*20cm</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化学实验废水处理装置</w:t>
            </w:r>
            <w:r/>
          </w:p>
        </w:tc>
        <w:tc>
          <w:tcPr>
            <w:shd w:val="clear" w:color="auto" w:fill="auto"/>
            <w:tcBorders>
              <w:top w:val="single" w:color="000000" w:sz="4" w:space="0"/>
              <w:left w:val="single" w:color="000000" w:sz="4" w:space="0"/>
              <w:bottom w:val="single" w:color="000000" w:sz="4" w:space="0"/>
              <w:right w:val="single" w:color="000000"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#1.主体透明，能进行pH测试、酸碱废液中和、重金属凝聚和过滤，兼作教学使用；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#2.能处理中学常见无机化学废液，同时可以通过仪器内的活性炭吸附少量混入的有机物；应配备适量的凝聚剂和助凝剂，至少应配备更换用活性炭包1个，处理量≥6L/次；</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bl>
    <w:p>
      <w:pPr>
        <w:jc w:val="left"/>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r>
      <w:r/>
    </w:p>
    <w:p>
      <w:pPr>
        <w:jc w:val="left"/>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r>
      <w:r/>
    </w:p>
    <w:p>
      <w:pPr>
        <w:jc w:val="left"/>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r>
      <w:r/>
    </w:p>
    <w:tbl>
      <w:tblPr>
        <w:tblStyle w:val="727"/>
        <w:tblW w:w="10363"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73"/>
        <w:gridCol w:w="1172"/>
        <w:gridCol w:w="6793"/>
        <w:gridCol w:w="705"/>
        <w:gridCol w:w="720"/>
      </w:tblGrid>
      <w:tr>
        <w:trPr>
          <w:trHeight w:val="567"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1036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AF-初中生物仪器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3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教师演示仪器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AF1-01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#1、采用钢材，防锈处理。穿孔管用外径为6mm、8mm、10mm，壁厚≥1mm的无缝钢管，手柄用≥3mm厚低碳钢板，通用条Ф2.8mm碳素钢等制成。四件为一套，可穿4mm、6mm、8mm的圆孔。</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AF1-02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产品结构：整体采用钢管做车架，有两层托盘，每层托盘三周有护栏围杆，四底脚有万向轮，小车两端有推拉扶手。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 尺寸不小于：(长)600mm×(宽)400mm×(高)800mm ，车体加载30</w:t>
            </w:r>
            <w:r>
              <w:rPr>
                <w:rFonts w:hint="eastAsia" w:ascii="宋体" w:hAnsi="宋体" w:cs="宋体"/>
                <w:i w:val="0"/>
                <w:iCs w:val="0"/>
                <w:color w:val="auto"/>
                <w:sz w:val="21"/>
                <w:szCs w:val="21"/>
                <w:u w:val="none"/>
                <w:lang w:val="en-US" w:eastAsia="zh-CN" w:bidi="ar"/>
              </w:rPr>
              <w:t xml:space="preserve">kg</w:t>
            </w:r>
            <w:r>
              <w:rPr>
                <w:rFonts w:hint="eastAsia" w:ascii="宋体" w:hAnsi="宋体" w:eastAsia="宋体" w:cs="宋体"/>
                <w:i w:val="0"/>
                <w:iCs w:val="0"/>
                <w:color w:val="auto"/>
                <w:sz w:val="21"/>
                <w:szCs w:val="21"/>
                <w:u w:val="none"/>
                <w:lang w:val="en-US" w:eastAsia="zh-CN" w:bidi="ar"/>
              </w:rPr>
              <w:t xml:space="preserve">重物后，应推拉灵活，车体无变形。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 每层托盘有防振结构。</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 车体底脚万向轮转动灵活，结实耐用。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 表面不应有明显的凹痕、裂缝、变形等缺陷。表面涂镀层应均匀，不应起泡、龟裂、脱落和磨损。金属零部件不应有锈蚀及其他机械损伤。</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辆</w:t>
            </w:r>
            <w:r/>
          </w:p>
        </w:tc>
      </w:tr>
      <w:tr>
        <w:trPr>
          <w:trHeight w:val="7456"/>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AF1-03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生物显微镜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#1、组成：镜座、镜臂、镜筒、准焦螺旋、物镜转换器、载物台、移动标尺、反光镜、目镜、物镜等。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#2、规格：1000倍。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#3、消色差物镜：10×/0.25、40×（弹）/0.65、100×（弹、油）/1.25。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#4、惠更斯目镜：H5×、H10×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w:t>
            </w:r>
            <w:r>
              <w:rPr>
                <w:rFonts w:hint="eastAsia" w:ascii="宋体" w:hAnsi="宋体" w:cs="宋体"/>
                <w:i w:val="0"/>
                <w:iCs w:val="0"/>
                <w:color w:val="auto"/>
                <w:sz w:val="21"/>
                <w:szCs w:val="21"/>
                <w:u w:val="none"/>
                <w:lang w:val="en-US" w:eastAsia="zh-CN" w:bidi="ar"/>
              </w:rPr>
              <w:t xml:space="preserve">物镜转换器</w:t>
            </w:r>
            <w:r>
              <w:rPr>
                <w:rFonts w:hint="eastAsia" w:ascii="宋体" w:hAnsi="宋体" w:eastAsia="宋体" w:cs="宋体"/>
                <w:i w:val="0"/>
                <w:iCs w:val="0"/>
                <w:color w:val="auto"/>
                <w:sz w:val="21"/>
                <w:szCs w:val="21"/>
                <w:u w:val="none"/>
                <w:lang w:val="en-US" w:eastAsia="zh-CN" w:bidi="ar"/>
              </w:rPr>
              <w:t xml:space="preserve">三孔同心，定位准确。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#6、镜头采用高品质光学玻璃材料。</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#7、反光镜一面为平面，一面为凹面，¢50mm。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#8、载物台：单层方平台，移动尺，120mm×120mm。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#9、移动尺调节范围：纵向30mm,横向60mm。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#10、聚光镜：阿贝聚光镜，NA=1.25,可变光阑。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#11、整机机架为金属制作，镜座应为铸铁制作。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#12、所有齿轮、齿条为黄铜制造，稳定、牢固、耐用，不应有自行下滑现象。目镜轨道，有上下卡位装置。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#13、每台一个专用木箱包装，并用螺钉固定。木箱箱体表面涂漆，做防潮处理。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837"/>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AF1-04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生物显微镜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#1．产品由镜座、镜臂、镜筒、准焦螺旋、物镜转换器、载物台、反光镜、目镜、物镜等组成；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#2．除调焦手轮和镜片外，整体采用金属材料制造；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#3．放大倍率：500×或 640×；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#4．消色差物镜：10×、40×、4×；</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#5．单目 45°，斜筒，可 360°旋转；</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#6．惠更斯目镜：12．5 或 16×，广角：10×；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#7．反光镜一面为平面，一面为凹面；反光镜直径为 50mm；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#8．粗动调焦范围为 23mm，微动调焦范围 1．8-2．2mm；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#9．移动尺：纵向调节范围：≥25mm，横向调节范围：≥50mm；游标读数精度：0．1mm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37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AF1-05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教师用生物数码显微镜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整机一体化设计，自带液晶屏，无需部件组装，接上电源即可使用；符合人机工程学，低重心底座，数据接口及电源接口在仪器底座背面，确保整体刚性和稳定性，仪器净重≥8kg,仪器高度≤60cm；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#2.无限远平场消色差物镜：4X、10X、20X、40X、100X;</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#3.广视场目镜：2个，WF10×，≥φ20mm，大视场、高眼点、双筒屈光度可调；</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#4.照明装置：内置LED底光源 、内置LED侧光源；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#5.载物台：双层移动式载物台，双切片夹，X、Y同轴调节，片夹可同时夹持两块切片，方便对比观察。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#6.调焦机构：粗微动同轴调焦，左右两侧均有粗调与微调手轮，调焦行程（载物台升降行程）≥50mm，有防滑装置；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#7.具有实体显微镜功能，可观察生物装片，又可观察实体；</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#8.具有在观察画面上进行标注的功能，支持使用涂鸦、直线、圆形、文字等方式标注，并生成图片保存；</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#9.具有坐标测量和定点测量功能；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#10.电源：外置电源适配器，AC输入，DC输出，输出电压为安全电压；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#11.仪器底座设置有液晶显示调光系统，可通过一键式按压旋钮实现光源切换，亮度调整以及开关机，指示屏支持亮度级别显示、中文光源提示等功能。</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AF1-06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学生端生物数码显微镜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#1.便携一体式智能平板电脑输出：多点触摸屏，静态拍照分辨率4608X3456；LCD尺寸≧10.1英寸；内存容量≧2G;存储容量≧8G；</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#2.操作系统：</w:t>
            </w:r>
            <w:r>
              <w:rPr>
                <w:rFonts w:hint="eastAsia" w:ascii="宋体" w:hAnsi="宋体" w:cs="宋体"/>
                <w:i w:val="0"/>
                <w:iCs w:val="0"/>
                <w:color w:val="auto"/>
                <w:sz w:val="21"/>
                <w:szCs w:val="21"/>
                <w:u w:val="none"/>
                <w:lang w:val="en-US" w:eastAsia="zh-CN" w:bidi="ar"/>
              </w:rPr>
              <w:t xml:space="preserve">支持</w:t>
            </w:r>
            <w:r>
              <w:rPr>
                <w:rFonts w:hint="eastAsia" w:ascii="宋体" w:hAnsi="宋体" w:eastAsia="宋体" w:cs="宋体"/>
                <w:i w:val="0"/>
                <w:iCs w:val="0"/>
                <w:color w:val="auto"/>
                <w:sz w:val="21"/>
                <w:szCs w:val="21"/>
                <w:u w:val="none"/>
                <w:lang w:val="en-US" w:eastAsia="zh-CN" w:bidi="ar"/>
              </w:rPr>
              <w:t xml:space="preserve">Android 10以上操作系统或其他操作系统；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#3.一体化数码成像系统： IPS高清硬屏，≥10.1英寸彩色高清液晶屏，真实色彩还原，CPU: 1.8GHz 四核，屏幕硬件分辨率：1080p，拍照像素：500万像素以上,支持4K视频录制,录像分辨率1080P/15FPS以上，超高清成像装置，画面无拖尾延迟现象，1080P HDMI高清数字信号输出；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#5.显微镜及显示屏为一体的电源，电源适配器规格：DC12V 2A；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#6.可外接10000mAh以上电池组件供电，可连续使用5-8小时；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#7.双目镜筒，三目倾斜30°，视度可调节，双目瞳距：48-75 mm，可360度旋转观察，0.5X带光学玻璃摄像接筒；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#8.物镜转换器：四孔转换器，转动舒适，响声定位明晰，转换器稳定性≤0.010mm；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#9.显微镜底座装有液晶显示屏，可以显示ECO,亮度，底光源，侧光源，电池容量；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#10.照明电光源：透射光源：长寿命、高亮度复眼透镜1W LED灯，节能、绿色、环保；</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AF1-07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网络版数码互动控制软件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#1.支持主窗口功能按钮、浮动工具条、右键菜单、快捷键多项操作方式。无线网络环境下最多可以支持60个用户，并且可以达到和有线网络环境相同的效果。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#2.采用核心的动态局部截屏及实时压缩技术；可根据网络条件调节网络补偿强度，根据广播内容调节广播及录制效率，使广播达到最佳效果，支持DirectDraw、Direct3D、 Overlay、OpenGL等特殊显示方式。屏幕广播响应时间&lt;0.4秒。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#3.采用流媒体技术，流畅无延时，支持几乎所有常见的媒体音视频格式，Windows Media文件，VCD文件，DVD文件， AVI文件，MP3等主流文件格式，支持720p、1080p的高清视频。</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3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AF1-08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教师专业图像软件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具有</w:t>
            </w:r>
            <w:r>
              <w:rPr>
                <w:rFonts w:hint="eastAsia" w:ascii="宋体" w:hAnsi="宋体" w:eastAsia="宋体" w:cs="宋体"/>
                <w:i w:val="0"/>
                <w:iCs w:val="0"/>
                <w:color w:val="auto"/>
                <w:sz w:val="21"/>
                <w:szCs w:val="21"/>
                <w:u w:val="none"/>
                <w:lang w:val="en-US" w:eastAsia="zh-CN" w:bidi="ar"/>
              </w:rPr>
              <w:t xml:space="preserve">图像采集与存储</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常规的图像处理功能</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区域操作、处理、分析功能</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灵活的定标功能</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图像标注、测量功能</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图像识别和分析功能</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图像的多层分割</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分割修正功能</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颗粒删除功能</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计算形态参数</w:t>
            </w:r>
            <w:r>
              <w:rPr>
                <w:rFonts w:hint="eastAsia" w:ascii="宋体" w:hAnsi="宋体" w:cs="宋体"/>
                <w:i w:val="0"/>
                <w:iCs w:val="0"/>
                <w:strike w:val="0"/>
                <w:color w:val="auto"/>
                <w:sz w:val="21"/>
                <w:szCs w:val="21"/>
                <w:u w:val="none"/>
                <w:lang w:val="en-US" w:eastAsia="zh-CN" w:bidi="ar"/>
              </w:rPr>
              <w:t xml:space="preserve">等。</w:t>
            </w:r>
            <w:r>
              <w:rPr>
                <w:rFonts w:hint="eastAsia" w:ascii="宋体" w:hAnsi="宋体" w:eastAsia="宋体" w:cs="宋体"/>
                <w:i w:val="0"/>
                <w:iCs w:val="0"/>
                <w:strike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 便捷的结果输出：支持所有结果输出到Word、Excel。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3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AF1-09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学生端图像软件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具有</w:t>
            </w:r>
            <w:r>
              <w:rPr>
                <w:rFonts w:hint="eastAsia" w:ascii="宋体" w:hAnsi="宋体" w:eastAsia="宋体" w:cs="宋体"/>
                <w:i w:val="0"/>
                <w:iCs w:val="0"/>
                <w:color w:val="auto"/>
                <w:sz w:val="21"/>
                <w:szCs w:val="21"/>
                <w:u w:val="none"/>
                <w:lang w:val="en-US" w:eastAsia="zh-CN" w:bidi="ar"/>
              </w:rPr>
              <w:t xml:space="preserve">图像采集与存储</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常规的图像处理功能</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区域操作、处理、分析功能</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灵活的定标功能</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图像标注、测量功能</w:t>
            </w:r>
            <w:r>
              <w:rPr>
                <w:rFonts w:hint="eastAsia" w:ascii="宋体" w:hAnsi="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网络交换机及系统集成</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#1、系统集成及现场培训，支持30个以上学生端，传输速度快、稳定、可靠；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#2、网络标准：802.11ac；支持MU-MIMO；</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#3、数据传输率：》1300Mbps；</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#4、频率范围：2.4G&amp;5G；独立的2.4GHz&amp;5GHz硬件加速；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#5、天线：扩展2至4倍的信号覆盖范围自动干扰规避、优化，适合高密度的环境集成智能天线阵列，具备300多种独特模式，具有超高可靠性 高达4dB的信号增益和-10dB的干扰抑制；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#6、安全性能：无线入侵防御系统。</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生物显微镜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#1、目镜：大视野广角WF16X13mm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#2、物镜：4X、10X、40X（弹簧）消色差物镜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#3、镜筒：单目观察筒，45度倾斜，360度旋转</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#4、转换器：三孔转换器，保证齐焦，转换器稳定性≤0.025mm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#5、载物台：金属平台，平台面积110X120mm。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#6、聚光镜：单片聚光镜，数值孔径N.A0.65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#7、光源：LED高亮度光源，带充电功能，亮度可调，可与反光镜互换。</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双目立体显微镜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材料要求:底座、镜臂、齿条、物镜和目镜镜筒均为金属制。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 总放大倍数：20-40倍。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 目镜:WF10X。</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 物镜：变倍筒物镜:2X-4X分档变倍物镜组。</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 调焦范围: 40mm。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 行程范围:90mm。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#7.照明：自然光。</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电动离心机</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 r/min～4000r/min，离心率：17000，容量：20ml*6,定时：min0-60,功率：大于120.无刷电机。</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415"/>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离心沉淀器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#1.产品为组合式，主要由齿轮变速箱1套，转台1套，试管4个组成。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#2.齿轮变速箱：（1）变速箱用工程塑料ABS制作.变速齿轮比例不小于1:2.下部有固定装置，</w:t>
            </w:r>
            <w:r>
              <w:rPr>
                <w:rFonts w:hint="eastAsia" w:ascii="宋体" w:hAnsi="宋体" w:cs="宋体"/>
                <w:i w:val="0"/>
                <w:iCs w:val="0"/>
                <w:color w:val="auto"/>
                <w:sz w:val="21"/>
                <w:szCs w:val="21"/>
                <w:u w:val="none"/>
                <w:lang w:val="en-US" w:eastAsia="zh-CN" w:bidi="ar"/>
              </w:rPr>
              <w:t xml:space="preserve">上部</w:t>
            </w:r>
            <w:r>
              <w:rPr>
                <w:rFonts w:hint="eastAsia" w:ascii="宋体" w:hAnsi="宋体" w:eastAsia="宋体" w:cs="宋体"/>
                <w:i w:val="0"/>
                <w:iCs w:val="0"/>
                <w:color w:val="auto"/>
                <w:sz w:val="21"/>
                <w:szCs w:val="21"/>
                <w:u w:val="none"/>
                <w:lang w:val="en-US" w:eastAsia="zh-CN" w:bidi="ar"/>
              </w:rPr>
              <w:t xml:space="preserve">有转轴，正面有手摇装置。（2）组装后的齿轮箱应固定方便、转动灵活。</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#3.转台用金属制作，螺钉固定，4等分均匀分布试管环，试管环应能360°转动，表面镀锌防锈处理。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磁力加热搅拌器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#1、搅拌容量：不小于500ml；搅拌速度：无级调速0—2000转/分；外形尺寸不小于260mm×165mm×120mm；工作电压：220V/50Hz。</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65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酒精喷灯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#1、结构为座式。纯铜制作，壁厚均不得低于1mm，火焰温度不低于1200摄氏度。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#2、产品为组合式，主要由壶体、燃杯、壶嘴、喷管、火苗调节杆、钢针组成。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#3、壶体外形尺寸：直径100mm±2mm，高135mm±2mm，容量250ml，组合后应摆放平稳，左右调节,调节方便。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#4、喷管与壶体连接螺纹、壶体密封盖无漏气现象。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#5、焊接部位应焊接牢固、光滑。</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电炉</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#1、有效加热面积不小于15*15cm，密封式,额定电压 ＡＣ 220Ｖ±5％ 50Ｈz ＋5,消耗功率  1000Ｗ。</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高压灭菌锅</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#1、容量≥18L;304不锈钢材质；智能显示数控；</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蒸馏水器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#1、仪器主要由蒸发锅、冷凝器、电器配置三大部分组成。不锈钢薄板滚压，延伸，焊接成形，工作电压220V，50Hz，功率2</w:t>
            </w:r>
            <w:r>
              <w:rPr>
                <w:rFonts w:hint="eastAsia" w:ascii="宋体" w:hAnsi="宋体" w:cs="宋体"/>
                <w:i w:val="0"/>
                <w:iCs w:val="0"/>
                <w:color w:val="auto"/>
                <w:sz w:val="21"/>
                <w:szCs w:val="21"/>
                <w:u w:val="none"/>
                <w:lang w:val="en-US" w:eastAsia="zh-CN" w:bidi="ar"/>
              </w:rPr>
              <w:t xml:space="preserve">kW</w:t>
            </w:r>
            <w:r>
              <w:rPr>
                <w:rFonts w:hint="eastAsia" w:ascii="宋体" w:hAnsi="宋体" w:eastAsia="宋体" w:cs="宋体"/>
                <w:i w:val="0"/>
                <w:iCs w:val="0"/>
                <w:color w:val="auto"/>
                <w:sz w:val="21"/>
                <w:szCs w:val="21"/>
                <w:u w:val="none"/>
                <w:lang w:val="en-US" w:eastAsia="zh-CN" w:bidi="ar"/>
              </w:rPr>
              <w:t xml:space="preserve">,出水量每小时2L；仪器部分由水源阀，回水管冷凝冷却器，进水控制器，玻璃水位器，蒸发锅，放水阀，蒸馏水出水皮管。电源线组成，电器部分由电源开关、</w:t>
            </w:r>
            <w:r>
              <w:rPr>
                <w:rFonts w:hint="eastAsia" w:ascii="宋体" w:hAnsi="宋体" w:cs="宋体"/>
                <w:i w:val="0"/>
                <w:iCs w:val="0"/>
                <w:color w:val="auto"/>
                <w:sz w:val="21"/>
                <w:szCs w:val="21"/>
                <w:u w:val="none"/>
                <w:lang w:val="en-US" w:eastAsia="zh-CN" w:bidi="ar"/>
              </w:rPr>
              <w:t xml:space="preserve">熔</w:t>
            </w:r>
            <w:r>
              <w:rPr>
                <w:rFonts w:hint="eastAsia" w:ascii="宋体" w:hAnsi="宋体" w:eastAsia="宋体" w:cs="宋体"/>
                <w:i w:val="0"/>
                <w:iCs w:val="0"/>
                <w:color w:val="auto"/>
                <w:sz w:val="21"/>
                <w:szCs w:val="21"/>
                <w:u w:val="none"/>
                <w:lang w:val="en-US" w:eastAsia="zh-CN" w:bidi="ar"/>
              </w:rPr>
              <w:t xml:space="preserve">断丝、接连板、电热管、指示灯、接地装置组成。</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AF1-20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恒温水浴锅</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#1、容器孔数：2孔。外形尺寸：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380mm*170mm*160mm.工作室尺寸：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长240mm*宽140mm*深100。工作室容积：3.4L.加热功率：500W.温控</w:t>
            </w:r>
            <w:r>
              <w:rPr>
                <w:rFonts w:hint="eastAsia" w:ascii="宋体" w:hAnsi="宋体" w:cs="宋体"/>
                <w:i w:val="0"/>
                <w:iCs w:val="0"/>
                <w:color w:val="auto"/>
                <w:sz w:val="21"/>
                <w:szCs w:val="21"/>
                <w:u w:val="none"/>
                <w:lang w:val="en-US" w:eastAsia="zh-CN" w:bidi="ar"/>
              </w:rPr>
              <w:t xml:space="preserve">范围</w:t>
            </w:r>
            <w:r>
              <w:rPr>
                <w:rFonts w:hint="eastAsia" w:ascii="宋体" w:hAnsi="宋体" w:eastAsia="宋体" w:cs="宋体"/>
                <w:i w:val="0"/>
                <w:iCs w:val="0"/>
                <w:color w:val="auto"/>
                <w:sz w:val="21"/>
                <w:szCs w:val="21"/>
                <w:u w:val="none"/>
                <w:lang w:val="en-US" w:eastAsia="zh-CN" w:bidi="ar"/>
              </w:rPr>
              <w:t xml:space="preserve">：室温~100℃.温控精度：±1℃/min.电源：交流220V/50</w:t>
            </w:r>
            <w:r>
              <w:rPr>
                <w:rFonts w:hint="eastAsia" w:ascii="宋体" w:hAnsi="宋体" w:cs="宋体"/>
                <w:i w:val="0"/>
                <w:iCs w:val="0"/>
                <w:color w:val="auto"/>
                <w:sz w:val="21"/>
                <w:szCs w:val="21"/>
                <w:u w:val="none"/>
                <w:lang w:val="en-US" w:eastAsia="zh-CN" w:bidi="ar"/>
              </w:rPr>
              <w:t xml:space="preserve">Hz</w:t>
            </w:r>
            <w:r>
              <w:rPr>
                <w:rFonts w:hint="eastAsia" w:ascii="宋体" w:hAnsi="宋体" w:eastAsia="宋体" w:cs="宋体"/>
                <w:i w:val="0"/>
                <w:iCs w:val="0"/>
                <w:color w:val="auto"/>
                <w:sz w:val="21"/>
                <w:szCs w:val="21"/>
                <w:u w:val="none"/>
                <w:lang w:val="en-US" w:eastAsia="zh-CN" w:bidi="ar"/>
              </w:rPr>
              <w:t xml:space="preserve">。微电脑恒温数显。</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AF1-21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烘干箱</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#1、材质：外壳采用冷轧钢板制造，表面静电喷塑；内胆为不锈钢材料制成；                                                                                                              </w:t>
            </w:r>
            <w:r>
              <w:rPr>
                <w:rFonts w:hint="eastAsia" w:ascii="宋体" w:hAnsi="宋体" w:eastAsia="宋体" w:cs="宋体"/>
                <w:i w:val="0"/>
                <w:iCs w:val="0"/>
                <w:color w:val="auto"/>
                <w:sz w:val="21"/>
                <w:szCs w:val="21"/>
                <w:u w:val="none"/>
                <w:lang w:val="en-US" w:eastAsia="zh-CN" w:bidi="ar"/>
              </w:rPr>
              <w:t xml:space="preserve">                         #2、系统具有控温、定时和超温报警等功能；                                                                                                                                                                          #3、电源电压：AC220±10%（50Hz）；控温范围：室温～120℃；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、显示精度0.1℃(＞100℃显示精度为1℃)；温度波动性：≤±1℃；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、设有玻璃观察窗，便于观察，智能数显控；</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AF1-22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电冰箱</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#1、效容积大于160L。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AF1-23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恒温培养箱</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#1、自然对流式通风结构，电子控温仪控制温度。 控温范围20℃-60℃。温度波动允差：不大于1℃。温度均匀性允差：±1℃等</w:t>
            </w:r>
            <w:r>
              <w:rPr>
                <w:rFonts w:hint="eastAsia" w:ascii="宋体" w:hAnsi="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AF1-24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光照培养箱</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#1、容积：250L；光照强度：0lx～12000lx分级可调；控温范围：10℃～50℃(有光照)；温度波动性：±1℃；温度均匀度：±2℃。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AF1-25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超净工作台</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#1、双人单面，垂直送风，100级，送风风速：O.3m/s～0.6m/s可调。</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AF1-26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保温桶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#1、1L～2L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AF1-27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水族箱</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#1．尺寸不小于380mm×240mm×450mm（长×宽×高）</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玻璃材质，带灯和充氧泵。</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AF1-28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底座、立杆及附件组成。方座支架的底座由铸铁制成，质量不小于1.5kg。立杆直径不小于φ10mm；立杆长610mm，直径不小于10mm，表面镀铬，立杆与方座组装后应垂直。附件由大、小铁圈各一只，平行夹一只，铸铁十字夹二只，试管夹一只构成。整套产品应有足够的平稳度，底座耐碱。采用钢材，防锈处理及表面环保油漆涂层精制而成。</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AF1-29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#1．最大称量200g，分度值0.2 g。 秤量允许误差为±0.5d(分度值)。油漆件表面应平整光滑，色泽均匀，不应有露底、起泡、挂漆、擦伤等缺陷。</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strike w:val="0"/>
                <w:color w:val="auto"/>
                <w:sz w:val="21"/>
                <w:szCs w:val="21"/>
                <w:u w:val="none"/>
              </w:rPr>
              <w:suppressLineNumbers w:val="0"/>
            </w:pPr>
            <w:r>
              <w:rPr>
                <w:rFonts w:hint="eastAsia" w:ascii="宋体" w:hAnsi="宋体" w:eastAsia="宋体" w:cs="宋体"/>
                <w:i w:val="0"/>
                <w:iCs w:val="0"/>
                <w:strike w:val="0"/>
                <w:color w:val="auto"/>
                <w:sz w:val="21"/>
                <w:szCs w:val="21"/>
                <w:u w:val="none"/>
                <w:lang w:val="en-US" w:eastAsia="zh-CN" w:bidi="ar"/>
              </w:rPr>
              <w:t xml:space="preserve">AF1-30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strike w:val="0"/>
                <w:color w:val="auto"/>
                <w:sz w:val="21"/>
                <w:szCs w:val="21"/>
                <w:u w:val="none"/>
                <w:lang w:val="en-US"/>
              </w:rPr>
              <w:suppressLineNumbers w:val="0"/>
            </w:pPr>
            <w:r>
              <w:rPr>
                <w:rFonts w:hint="eastAsia" w:ascii="宋体" w:hAnsi="宋体" w:cs="宋体"/>
                <w:i w:val="0"/>
                <w:iCs w:val="0"/>
                <w:strike w:val="0"/>
                <w:color w:val="auto"/>
                <w:sz w:val="21"/>
                <w:szCs w:val="21"/>
                <w:u w:val="none"/>
                <w:lang w:val="en-US" w:eastAsia="zh-CN" w:bidi="ar"/>
              </w:rPr>
              <w:t xml:space="preserve">实验室</w:t>
            </w:r>
            <w:r>
              <w:rPr>
                <w:rFonts w:hint="eastAsia" w:ascii="宋体" w:hAnsi="宋体" w:eastAsia="宋体" w:cs="宋体"/>
                <w:i w:val="0"/>
                <w:iCs w:val="0"/>
                <w:strike w:val="0"/>
                <w:color w:val="auto"/>
                <w:sz w:val="21"/>
                <w:szCs w:val="21"/>
                <w:u w:val="none"/>
                <w:lang w:val="en-US" w:eastAsia="zh-CN" w:bidi="ar"/>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strike w:val="0"/>
                <w:color w:val="auto"/>
                <w:sz w:val="21"/>
                <w:szCs w:val="21"/>
                <w:u w:val="none"/>
              </w:rPr>
              <w:suppressLineNumbers w:val="0"/>
            </w:pPr>
            <w:r>
              <w:rPr>
                <w:rFonts w:hint="eastAsia" w:ascii="宋体" w:hAnsi="宋体" w:eastAsia="宋体" w:cs="宋体"/>
                <w:i w:val="0"/>
                <w:iCs w:val="0"/>
                <w:strike w:val="0"/>
                <w:color w:val="auto"/>
                <w:sz w:val="21"/>
                <w:szCs w:val="21"/>
                <w:u w:val="none"/>
                <w:lang w:val="en-US" w:eastAsia="zh-CN" w:bidi="ar"/>
              </w:rPr>
              <w:t xml:space="preserve">#1．感温物质：水银。尺寸要求不小于：长300mm；外径：5mm；头：10mm。测量范围：0－200℃。玻璃应光洁透明，不得有裂痕。毛细管不得有明显的弯曲现象，其孔径应均匀，管壁内应清洁无杂质。感温液体（水银）必须纯洁、无杂质。液线不得中断。上升时不得有停滞和跳跃现象；下降时不得在管壁上留下液滴。</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strike w:val="0"/>
                <w:color w:val="auto"/>
                <w:sz w:val="21"/>
                <w:szCs w:val="21"/>
                <w:u w:val="none"/>
              </w:rPr>
              <w:suppressLineNumbers w:val="0"/>
            </w:pPr>
            <w:r>
              <w:rPr>
                <w:rFonts w:hint="eastAsia" w:ascii="宋体" w:hAnsi="宋体" w:eastAsia="宋体" w:cs="宋体"/>
                <w:i w:val="0"/>
                <w:iCs w:val="0"/>
                <w:strike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strike w:val="0"/>
                <w:color w:val="auto"/>
                <w:sz w:val="21"/>
                <w:szCs w:val="21"/>
                <w:u w:val="none"/>
              </w:rPr>
              <w:suppressLineNumbers w:val="0"/>
            </w:pPr>
            <w:r>
              <w:rPr>
                <w:rFonts w:hint="eastAsia" w:ascii="宋体" w:hAnsi="宋体" w:eastAsia="宋体" w:cs="宋体"/>
                <w:i w:val="0"/>
                <w:iCs w:val="0"/>
                <w:strike w:val="0"/>
                <w:color w:val="auto"/>
                <w:sz w:val="21"/>
                <w:szCs w:val="21"/>
                <w:u w:val="none"/>
                <w:lang w:val="en-US" w:eastAsia="zh-CN" w:bidi="ar"/>
              </w:rPr>
              <w:t xml:space="preserve">支</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AF1-31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血压计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#1．本产品为普通医用汞柱式血压计。产品由刻度盛水银的玻璃管、橡皮管、橡皮囊袖带、打气球等组成。</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AF1-32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肺活量计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容器、吹嘴、塑料软管组成，一次性吹塑而成。容器容量不小于5.5L，外形尺寸：直径：≥140mm，高度≥370mm，表面印有0.1～5.5L的标记。吹嘴外形Y形状，吹气口表面圆滑。塑料软管与软气嘴配合无漏气现象。</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AF1-33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解剖器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#1、不锈钢材料，7件(大、小剪刀，大、小镊子，解剖刀，解剖针，弯头镊)，大剪刀长度不小于15cm，其余与之匹配。</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AF1-34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骨剪</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#1．产品用不锈钢制造。总长度不小于120mm。剪刀尖部两叶头应交叉吻合、平整，刃口在经剪切细骨后应无缺损。剪刀的弹片应用优质钢簧制成，弹性适宜。弹片应镀铬。铆接良好，松紧适度。</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把</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AF1-35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接种箱</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#1、带紫外线，铁质结构。单人操作箱，要求关闭严密、无缝，正面开两个圆洞。</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AF1-36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孵化器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#1、（4～6）个蛋</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AF1-37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光照培养架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#1、由模拟阳光的灯泡，三层可调节，插孔暗式布线，独立开关，光照强度可调。</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AF1-38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植物细胞模型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#1．产品为洋葱表皮细胞显微结构的立体模型。</w:t>
            </w:r>
            <w:r>
              <w:rPr>
                <w:rFonts w:hint="eastAsia" w:ascii="宋体" w:hAnsi="宋体" w:cs="宋体"/>
                <w:i w:val="0"/>
                <w:iCs w:val="0"/>
                <w:color w:val="auto"/>
                <w:sz w:val="21"/>
                <w:szCs w:val="21"/>
                <w:u w:val="none"/>
                <w:lang w:val="en-US" w:eastAsia="zh-CN" w:bidi="ar"/>
              </w:rPr>
              <w:t xml:space="preserve">显</w:t>
            </w:r>
            <w:r>
              <w:rPr>
                <w:rFonts w:hint="eastAsia" w:ascii="宋体" w:hAnsi="宋体" w:eastAsia="宋体" w:cs="宋体"/>
                <w:i w:val="0"/>
                <w:iCs w:val="0"/>
                <w:color w:val="auto"/>
                <w:sz w:val="21"/>
                <w:szCs w:val="21"/>
                <w:u w:val="none"/>
                <w:lang w:val="en-US" w:eastAsia="zh-CN" w:bidi="ar"/>
              </w:rPr>
              <w:t xml:space="preserve">示一个细胞的完整形态及其毗邻关系。细胞的结构示细胞壁、细胞膜、细胞质、细胞核、核仁和液泡。各部结构从不同角度观察应正确、自然，着色应协调。缝口、内部元件的粘合应牢固，不得有错缝和明显的痕迹。</w:t>
            </w:r>
            <w:r>
              <w:rPr>
                <w:rFonts w:hint="eastAsia" w:ascii="宋体" w:hAnsi="宋体" w:eastAsia="宋体" w:cs="宋体"/>
                <w:i w:val="0"/>
                <w:iCs w:val="0"/>
                <w:color w:val="auto"/>
                <w:sz w:val="21"/>
                <w:szCs w:val="21"/>
                <w:u w:val="none"/>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AF1-39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根纵剖模型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模型取材于单子叶植物玉米根尖，作纵、横剖面，置于支架上，可水平转动。根尖中部做不同向的纵剖面，突出维管柱，示根冠、分生区、伸长区、成熟区和原形成层等。成熟区做不同层次的横剖，示表皮、皮层和维管柱。皮层示厚壁细胞、薄壁细胞和内皮层细胞；维管柱地木质部和韧皮部呈辐射状相间排列的顺序。成熟区的部分根毛作剖面，示根毛的发育顺序和各个发育顺序的细胞排列位置。</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AF1-40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导管、筛管结构模型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为显微结构的立体放大模型。包括环纹导管、螺纹导管、网纹导管、孔纹导管及筛管。环、螺、网纹导管模型须显示至少一个分子间界，筛管及孔纹导管至少显示一个分子，筛管一侧还应示伴胞。各种导管及筛管的形态结构应正确、自然。各部位粘接应牢固，且内部纹路应相互吻合。</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578"/>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AF1-41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单子叶植物茎模型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#1、模型取材于玉米茎，模型作横切，取横切面1/10，去掉中央部分。</w:t>
            </w:r>
            <w:r>
              <w:rPr>
                <w:rFonts w:hint="eastAsia" w:ascii="宋体" w:hAnsi="宋体" w:cs="宋体"/>
                <w:i w:val="0"/>
                <w:iCs w:val="0"/>
                <w:color w:val="auto"/>
                <w:sz w:val="21"/>
                <w:szCs w:val="21"/>
                <w:u w:val="none"/>
                <w:lang w:val="en-US" w:eastAsia="zh-CN" w:bidi="ar"/>
              </w:rPr>
              <w:t xml:space="preserve">显</w:t>
            </w:r>
            <w:r>
              <w:rPr>
                <w:rFonts w:hint="eastAsia" w:ascii="宋体" w:hAnsi="宋体" w:eastAsia="宋体" w:cs="宋体"/>
                <w:i w:val="0"/>
                <w:iCs w:val="0"/>
                <w:color w:val="auto"/>
                <w:sz w:val="21"/>
                <w:szCs w:val="21"/>
                <w:u w:val="none"/>
                <w:lang w:val="en-US" w:eastAsia="zh-CN" w:bidi="ar"/>
              </w:rPr>
              <w:t xml:space="preserve">示表皮、维管束、基本组织。表皮示气孔，表皮下示厚壁细胞组成的机械组织。维管束示维管束鞘，原生韧皮部、伴胞和筛管孔纹导管、环纹、螺纹导管和胞间道。标本组织示薄壁细胞和胞间隙。在纵剖面上示环纹、螺筛、孔纹导管和筛管，筛管和结构示厚壁、薄壁等各种类型细胞的结构。各缝处应修饰自然、正确、牢固。</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AF1-42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双子叶草本植物茎模型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#1、模型取材于双子叶草本植物茎向日葵茎。模型作纵、横切，其横切面约为茎的2/3，纵切面一侧通过髓射线，一侧通过维管束。横剖面上示表层</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皮层、维管束、髓和髓射线。表皮细胞排列紧密，呈角质化，皮层细胞近表皮的呈厚角状，靠内侧的呈薄壁状。维管束韧皮纤维，初生韧皮部、形成层和初生木质部。纵切面的一侧分层剥离，示表皮、厚角把细胞薄壁细胞的表面观。维管束的横</w:t>
            </w:r>
            <w:r>
              <w:rPr>
                <w:rFonts w:hint="eastAsia" w:ascii="宋体" w:hAnsi="宋体" w:cs="宋体"/>
                <w:i w:val="0"/>
                <w:iCs w:val="0"/>
                <w:color w:val="auto"/>
                <w:sz w:val="21"/>
                <w:szCs w:val="21"/>
                <w:u w:val="none"/>
                <w:lang w:val="en-US" w:eastAsia="zh-CN" w:bidi="ar"/>
              </w:rPr>
              <w:t xml:space="preserve">断面</w:t>
            </w:r>
            <w:r>
              <w:rPr>
                <w:rFonts w:hint="eastAsia" w:ascii="宋体" w:hAnsi="宋体" w:eastAsia="宋体" w:cs="宋体"/>
                <w:i w:val="0"/>
                <w:iCs w:val="0"/>
                <w:color w:val="auto"/>
                <w:sz w:val="21"/>
                <w:szCs w:val="21"/>
                <w:u w:val="none"/>
                <w:lang w:val="en-US" w:eastAsia="zh-CN" w:bidi="ar"/>
              </w:rPr>
              <w:t xml:space="preserve">上示导管、筛管、筛板和筛孔，纵断面上示环纹导管、螺纹导管、孔纹导管、筛管和筛板等结构。各缝处应修饰自然、正确、牢固。</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AF1-43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叶构造模型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模型取材于双子叶植物蚕豆叶，通过主脉做部分叶片的横切，局部做不同层次的纵、横切面。模型示上、下表皮、叶肉和叶脉三部分。表皮示角质层、表皮细胞和由保卫组织细胞组成的气孔，叶内示珊栏组成和海绵组织，叶脉示主脉、侧脉和细脉。在主脉的横切面示维管束的结构（示本质部、韧皮部、叶内形成层）和其周围的薄壁结构。在模型的一侧，通过各种剖</w:t>
            </w:r>
            <w:r>
              <w:rPr>
                <w:rFonts w:hint="eastAsia" w:ascii="宋体" w:hAnsi="宋体" w:cs="宋体"/>
                <w:i w:val="0"/>
                <w:iCs w:val="0"/>
                <w:color w:val="auto"/>
                <w:sz w:val="21"/>
                <w:szCs w:val="21"/>
                <w:u w:val="none"/>
                <w:lang w:val="en-US" w:eastAsia="zh-CN" w:bidi="ar"/>
              </w:rPr>
              <w:t xml:space="preserve">面显</w:t>
            </w:r>
            <w:r>
              <w:rPr>
                <w:rFonts w:hint="eastAsia" w:ascii="宋体" w:hAnsi="宋体" w:eastAsia="宋体" w:cs="宋体"/>
                <w:i w:val="0"/>
                <w:iCs w:val="0"/>
                <w:color w:val="auto"/>
                <w:sz w:val="21"/>
                <w:szCs w:val="21"/>
                <w:u w:val="none"/>
                <w:lang w:val="en-US" w:eastAsia="zh-CN" w:bidi="ar"/>
              </w:rPr>
              <w:t xml:space="preserve">示主脉与侧脉的关系，示发育不规则的细脉。部分栅栏细胞和海绵细胞做剖面，示细胞核及叶绿素，部分气孔的内方示孔下室，海绵组织示较大的细胞间隙。各缝处应修饰自然、正确、牢固。</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AF1-44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桃花模型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产品为放大的桃花模型，示盛开形态。花瓣、子房可拆装，子房纵剖示胚珠。桃花的结构</w:t>
            </w:r>
            <w:r>
              <w:rPr>
                <w:rFonts w:hint="eastAsia" w:ascii="宋体" w:hAnsi="宋体" w:cs="宋体"/>
                <w:i w:val="0"/>
                <w:iCs w:val="0"/>
                <w:color w:val="auto"/>
                <w:sz w:val="21"/>
                <w:szCs w:val="21"/>
                <w:u w:val="none"/>
                <w:lang w:val="en-US" w:eastAsia="zh-CN" w:bidi="ar"/>
              </w:rPr>
              <w:t xml:space="preserve">是</w:t>
            </w:r>
            <w:r>
              <w:rPr>
                <w:rFonts w:hint="eastAsia" w:ascii="宋体" w:hAnsi="宋体" w:eastAsia="宋体" w:cs="宋体"/>
                <w:i w:val="0"/>
                <w:iCs w:val="0"/>
                <w:color w:val="auto"/>
                <w:sz w:val="21"/>
                <w:szCs w:val="21"/>
                <w:u w:val="none"/>
                <w:lang w:val="en-US" w:eastAsia="zh-CN" w:bidi="ar"/>
              </w:rPr>
              <w:t xml:space="preserve">：花柄、花托、花萼（萼片5个）、花冠（花瓣5个）、雄蕊（25~30个）和雌蕊。各部的形态结构和颜色应正确自然，富有真实感。各部的接插件应安装牢固，松紧适度，便于拆装。</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AF1-45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小麦花模型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产品为放大的小麦花模型，附以小穗为单位的复穗状花序模型，放于支架上。大部分小穗可拆下，个别小穗去掉频片和外稃。各部的接插件应安装牢固，松紧适度，便于拆装。</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AF1-46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蝗虫解剖模型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产品约为蝗虫解剖模型，固定上支架上，各部的形态结构、位置、比例应正确，外形着色应自然逼真，内部结构应清晰协调。缝口衔接处应严密。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AF1-47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蛙胚胎发育模型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#1、产品为八个放大之蛙胚胎发育模型组成</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每个模型均置于支架上。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AF1-48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草履虫模型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模型取材于大草履虫，形成的纵剖模型，立于支架上。模型纵剖面示表膜、口沟、胞口、胞咽、波动膜、食泡、肛点；示两个伸缩泡及其收集管；示小核；示外质其中的刺细胞和颗粒状的内质。伸缩泡：一个呈收缩状，一个呈伸张状。各部的形态结构和颜色应正确自然，富有真实感。</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AF1-49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蚯蚓解剖模型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通过虫体的表面，观察蚯蚓的体节、节间沟、生殖环带和运动器官——刚毛等各种结构，以及口、口前叶、雄性生殖孔、雌性生殖孔，受精囊孔及背孔等的位置。从虫体的纵横剖面观察蚯蚓的体壁、肌肉、隔膜、体腔以及消化系统、循环系统、生殖系统、神经系统和肾管等各种脏器的形态结构及其分布。（本模型所示的蚯蚓外形和内部结构反映了一般环节动物的基本特点，通过观察模型有助于了解蚯蚓的形态和构造的主要特征。）各部的形态结构和颜色应正确自然，富有真实感。</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1004"/>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AF1-50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血吸虫模型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雌雄虫体呈合抱状，并可拆下单独示教。雄虫显示：口吸盘、腹吸盘、食管和食管腺，分叉的肠支、精巢7个，各有小管通输精管，经储精囊到生殖孔通体外，腹部中央示抱雌沟。雌虫显示：口吸盘、腹吸盘、分叉的肠支，卵巢1个由输卵管通至卵，模和子宫相连，腹吸盘之后为生殖孔，虫体后部示卵黄泉，由卵黄管进入卵模，卵模周围示放射状的梅瓦泉。血吸虫生活史模型示虫卵、毛蚴、第一代胞虫蚴、第二代胞蚴和尾蚴。各部的形态结构和颜色应正确自然，富有真实感。</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AF1-51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头、颈、躯干模型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产品为男性成年头、颈、躯干解剖模型。产品采用硬质塑料制作，不得采用软塑料。显示人体内脏器官的正常位置，形态结构及其相互关系。重点显示呼吸、消化和泌尿三个系统。内脏各器官应形态正确，比例适当、纹理清晰，连接准确和切面平整。各部位着色应准确、鲜明，颜色不得溢出外界。金属零件或镶嵌件，都应按使用要求做表面处理。镶嵌件定位必须准确牢固，拆装方便，松紧适度，无松动脱落或呆滞现象。</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AF1-52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人体骨骼模型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#1．产品为男性成年骨骼模型，串制成正常直立姿势立于支架上。产品由颅、脊柱、胸廓、骨盆、上肢骨、下肢骨组成，结构比例正确。 产品采用混合树脂制作，颜色应准确，无明显差别。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AF1-53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眼球仪</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#1、晶状体曲率可变,演示眼球成像功能,模型置于基板上，材质：PVC材料。</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149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AF1-54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心脏解剖模型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#1．规格：三倍自然大。模型的外形按照标本放大复制，沿左右心耳的上方和左右心房、心室的两侧至心尖，剖开心脏的胸肋面，将心脏分成前后两部件。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AF1-55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喉解剖模型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模型示喉的上方与舌骨相连。下方连方管（至第八气管软骨）。后方借喉口与咽相通。喉软骨的外面附有甲状腺、甲状房腺；并示梨状隐窝以及神经血管的分布。喉的软骨部示甲状软骨、环状软骨、会厌软骨和杓状软骨。喉肌示榴横肌、杓斜肌、环杓后肌及左侧的环甲肌。剖开右侧甲状软骨（可拆下），示杓会厌肌、甲会厌肌、甲杓肌及环杓肌及环杓侧肌。模型做工正中矢状切，示喉前庭、喉中间腔、声门下腔、声门裂、喉宝、气管腔等内部结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AF1-56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肺泡模型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本模型取材于终末细支气管以下的分支――呼吸部，模型高约400mm，呈锥体形，装置于底板上。示终末细支气管和分支呼吸性细支气管、肺泡管、肺泡囊和肺泡。一侧肺泡管做纵剖面，示肺泡囊（剖面）肺泡管结节、肺泡隔内毛细血管。另一侧肺泡囊做横断面，示其横切面构造。示环绕管壁和平滑肌、弹性纤维和网状纤维。示肺动脉、肺静脉的逐级分支形成包绕于肺泡壁的毛细血管网，示支气管动、静脉。</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AF1-57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脑解剖模型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模型为自然大之人脑解剖，去掉硬脑膜，以正常生理位置放于底座上。大脑做正中矢状切，左侧脑半球经外侧沟向枕部作水平切。左侧脑半示深部的岛叶游离，暴露于外侧沟内。大脑半球的北侧面、内侧面及底面示其脑沟、脑回、脑叶。大脑的正中矢状面示胼胝体、隔、臆脑、小脑及脑干的剖面结构。示脑干的完整结构，包括十二对脑神经。</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AF1-58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耳解剖模型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#1．产品为自然大的人脑解剖模型，以正常生理位置放于支架上。大脑做正中矢状切，左侧脑半球经外侧沟向枕部再作水平切，并保留完整的脑干形态。</w:t>
            </w:r>
            <w:r>
              <w:rPr>
                <w:rFonts w:hint="eastAsia" w:ascii="宋体" w:hAnsi="宋体" w:cs="宋体"/>
                <w:i w:val="0"/>
                <w:iCs w:val="0"/>
                <w:color w:val="auto"/>
                <w:sz w:val="21"/>
                <w:szCs w:val="21"/>
                <w:u w:val="none"/>
                <w:lang w:val="en-US" w:eastAsia="zh-CN" w:bidi="ar"/>
              </w:rPr>
              <w:t xml:space="preserve">显</w:t>
            </w:r>
            <w:r>
              <w:rPr>
                <w:rFonts w:hint="eastAsia" w:ascii="宋体" w:hAnsi="宋体" w:eastAsia="宋体" w:cs="宋体"/>
                <w:i w:val="0"/>
                <w:iCs w:val="0"/>
                <w:color w:val="auto"/>
                <w:sz w:val="21"/>
                <w:szCs w:val="21"/>
                <w:u w:val="none"/>
                <w:lang w:val="en-US" w:eastAsia="zh-CN" w:bidi="ar"/>
              </w:rPr>
              <w:t xml:space="preserve">示大脑中间的胼胝体及凹陷在外侧沟内的岛叶。要严格参照正常人脑标本，将各部的形态、位置、比例、毗邻做正确，内部的主要结构要轮廓清楚。模型采用硬塑或混合树脂制作，不得采用软塑料。</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AF1-59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男性泌尿生殖系统模型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#1．产品为</w:t>
            </w:r>
            <w:r>
              <w:rPr>
                <w:rFonts w:hint="eastAsia" w:ascii="宋体" w:hAnsi="宋体" w:cs="宋体"/>
                <w:i w:val="0"/>
                <w:iCs w:val="0"/>
                <w:color w:val="auto"/>
                <w:sz w:val="21"/>
                <w:szCs w:val="21"/>
                <w:u w:val="none"/>
                <w:lang w:val="en-US" w:eastAsia="zh-CN" w:bidi="ar"/>
              </w:rPr>
              <w:t xml:space="preserve">自然人</w:t>
            </w:r>
            <w:r>
              <w:rPr>
                <w:rFonts w:hint="eastAsia" w:ascii="宋体" w:hAnsi="宋体" w:eastAsia="宋体" w:cs="宋体"/>
                <w:i w:val="0"/>
                <w:iCs w:val="0"/>
                <w:color w:val="auto"/>
                <w:sz w:val="21"/>
                <w:szCs w:val="21"/>
                <w:u w:val="none"/>
                <w:lang w:val="en-US" w:eastAsia="zh-CN" w:bidi="ar"/>
              </w:rPr>
              <w:t xml:space="preserve">的男性泌尿生殖系统模型，置于支架上。一侧肾做额切状，膀胱、前列腺、外生殖器和一侧睾丸做矢状切面，示其内部结构。泌尿器示：肾、输尿管、膀胱和尿道。</w:t>
            </w:r>
            <w:r>
              <w:rPr>
                <w:rFonts w:hint="eastAsia" w:ascii="宋体" w:hAnsi="宋体" w:cs="宋体"/>
                <w:i w:val="0"/>
                <w:iCs w:val="0"/>
                <w:color w:val="auto"/>
                <w:sz w:val="21"/>
                <w:szCs w:val="21"/>
                <w:u w:val="none"/>
                <w:lang w:val="en-US" w:eastAsia="zh-CN" w:bidi="ar"/>
              </w:rPr>
              <w:t xml:space="preserve">生殖器官</w:t>
            </w:r>
            <w:r>
              <w:rPr>
                <w:rFonts w:hint="eastAsia" w:ascii="宋体" w:hAnsi="宋体" w:eastAsia="宋体" w:cs="宋体"/>
                <w:i w:val="0"/>
                <w:iCs w:val="0"/>
                <w:color w:val="auto"/>
                <w:sz w:val="21"/>
                <w:szCs w:val="21"/>
                <w:u w:val="none"/>
                <w:lang w:val="en-US" w:eastAsia="zh-CN" w:bidi="ar"/>
              </w:rPr>
              <w:t xml:space="preserve">：睾丸、附睾、输精管、射精管、尿道、前列腺、精囊腺、尿道球腺和阴茎。示腹主动脉、下腔静脉、肾动脉及肾静脉等血管。各部分的形态位置，比例和颜色等均应正确自然。各器官的衔接应牢固，拆卸方便。</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AF1-60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女性泌尿生殖系统模型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产品为</w:t>
            </w:r>
            <w:r>
              <w:rPr>
                <w:rFonts w:hint="eastAsia" w:ascii="宋体" w:hAnsi="宋体" w:cs="宋体"/>
                <w:i w:val="0"/>
                <w:iCs w:val="0"/>
                <w:color w:val="auto"/>
                <w:sz w:val="21"/>
                <w:szCs w:val="21"/>
                <w:u w:val="none"/>
                <w:lang w:val="en-US" w:eastAsia="zh-CN" w:bidi="ar"/>
              </w:rPr>
              <w:t xml:space="preserve">自然人</w:t>
            </w:r>
            <w:r>
              <w:rPr>
                <w:rFonts w:hint="eastAsia" w:ascii="宋体" w:hAnsi="宋体" w:eastAsia="宋体" w:cs="宋体"/>
                <w:i w:val="0"/>
                <w:iCs w:val="0"/>
                <w:color w:val="auto"/>
                <w:sz w:val="21"/>
                <w:szCs w:val="21"/>
                <w:u w:val="none"/>
                <w:lang w:val="en-US" w:eastAsia="zh-CN" w:bidi="ar"/>
              </w:rPr>
              <w:t xml:space="preserve">的女性泌尿生殖系统模型，置于支架上。一侧肾及半侧子宫做额切状面，膀胱、一侧输卵管和卵巢做剖面，示其内部结构。泌尿器示：肾、输尿管、膀胱和尿道。</w:t>
            </w:r>
            <w:r>
              <w:rPr>
                <w:rFonts w:hint="eastAsia" w:ascii="宋体" w:hAnsi="宋体" w:cs="宋体"/>
                <w:i w:val="0"/>
                <w:iCs w:val="0"/>
                <w:color w:val="auto"/>
                <w:sz w:val="21"/>
                <w:szCs w:val="21"/>
                <w:u w:val="none"/>
                <w:lang w:val="en-US" w:eastAsia="zh-CN" w:bidi="ar"/>
              </w:rPr>
              <w:t xml:space="preserve">生殖器官</w:t>
            </w:r>
            <w:r>
              <w:rPr>
                <w:rFonts w:hint="eastAsia" w:ascii="宋体" w:hAnsi="宋体" w:eastAsia="宋体" w:cs="宋体"/>
                <w:i w:val="0"/>
                <w:iCs w:val="0"/>
                <w:color w:val="auto"/>
                <w:sz w:val="21"/>
                <w:szCs w:val="21"/>
                <w:u w:val="none"/>
                <w:lang w:val="en-US" w:eastAsia="zh-CN" w:bidi="ar"/>
              </w:rPr>
              <w:t xml:space="preserve">：卵巢、输卵管、子宫、阴道及子宫阔韧带、子宫圆韧带、卵巢圆韧带及卵巢系膜等固定结构。示腹主动脉、下腔静脉、肾动脉及肾静脉等血管。各部分的形态位置，比例和颜色等均应正确自然。各器官的衔接应牢固，拆卸方便。</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557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AF1-61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皮肤结构模型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strike w:val="0"/>
                <w:color w:val="auto"/>
                <w:sz w:val="21"/>
                <w:szCs w:val="21"/>
                <w:u w:val="none"/>
                <w:lang w:val="en-US" w:eastAsia="zh-CN" w:bidi="ar"/>
              </w:rPr>
              <w:t xml:space="preserve">#1、表皮：示角化层、生发层、汗腺开口。真皮：</w:t>
            </w:r>
            <w:r>
              <w:rPr>
                <w:rFonts w:hint="eastAsia" w:ascii="宋体" w:hAnsi="宋体" w:eastAsia="宋体" w:cs="宋体"/>
                <w:i w:val="0"/>
                <w:iCs w:val="0"/>
                <w:strike w:val="0"/>
                <w:color w:val="auto"/>
                <w:sz w:val="21"/>
                <w:szCs w:val="21"/>
                <w:u w:val="none"/>
                <w:lang w:val="en-US" w:eastAsia="zh-CN" w:bidi="ar"/>
              </w:rPr>
              <w:br/>
            </w:r>
            <w:r>
              <w:rPr>
                <w:rFonts w:hint="eastAsia" w:ascii="宋体" w:hAnsi="宋体" w:eastAsia="宋体" w:cs="宋体"/>
                <w:i w:val="0"/>
                <w:iCs w:val="0"/>
                <w:strike w:val="0"/>
                <w:color w:val="auto"/>
                <w:sz w:val="21"/>
                <w:szCs w:val="21"/>
                <w:u w:val="none"/>
                <w:lang w:val="en-US" w:eastAsia="zh-CN" w:bidi="ar"/>
              </w:rPr>
              <w:t xml:space="preserve">⑴、嵌入表皮基部的乳头层，包括含有毛细血管网和含有神经末梢的触觉小体。</w:t>
            </w:r>
            <w:r>
              <w:rPr>
                <w:rFonts w:hint="eastAsia" w:ascii="宋体" w:hAnsi="宋体" w:eastAsia="宋体" w:cs="宋体"/>
                <w:i w:val="0"/>
                <w:iCs w:val="0"/>
                <w:strike w:val="0"/>
                <w:color w:val="auto"/>
                <w:sz w:val="21"/>
                <w:szCs w:val="21"/>
                <w:u w:val="none"/>
                <w:lang w:val="en-US" w:eastAsia="zh-CN" w:bidi="ar"/>
              </w:rPr>
              <w:br/>
            </w:r>
            <w:r>
              <w:rPr>
                <w:rFonts w:hint="eastAsia" w:ascii="宋体" w:hAnsi="宋体" w:eastAsia="宋体" w:cs="宋体"/>
                <w:i w:val="0"/>
                <w:iCs w:val="0"/>
                <w:strike w:val="0"/>
                <w:color w:val="auto"/>
                <w:sz w:val="21"/>
                <w:szCs w:val="21"/>
                <w:u w:val="none"/>
                <w:lang w:val="en-US" w:eastAsia="zh-CN" w:bidi="ar"/>
              </w:rPr>
              <w:t xml:space="preserve">⑵、在真皮的深部，是粗大纤维交织的网状层、含有较大的血管、神经干、淋巴管、汗腺排泄管、皮脂腺、立毛肌等。</w:t>
            </w:r>
            <w:r>
              <w:rPr>
                <w:rFonts w:hint="eastAsia" w:ascii="宋体" w:hAnsi="宋体" w:eastAsia="宋体" w:cs="宋体"/>
                <w:i w:val="0"/>
                <w:iCs w:val="0"/>
                <w:strike w:val="0"/>
                <w:color w:val="auto"/>
                <w:sz w:val="21"/>
                <w:szCs w:val="21"/>
                <w:u w:val="none"/>
                <w:lang w:val="en-US" w:eastAsia="zh-CN" w:bidi="ar"/>
              </w:rPr>
              <w:br/>
            </w:r>
            <w:r>
              <w:rPr>
                <w:rFonts w:hint="eastAsia" w:ascii="宋体" w:hAnsi="宋体" w:eastAsia="宋体" w:cs="宋体"/>
                <w:i w:val="0"/>
                <w:iCs w:val="0"/>
                <w:strike w:val="0"/>
                <w:color w:val="auto"/>
                <w:sz w:val="21"/>
                <w:szCs w:val="21"/>
                <w:u w:val="none"/>
                <w:lang w:val="en-US" w:eastAsia="zh-CN" w:bidi="ar"/>
              </w:rPr>
              <w:t xml:space="preserve">#</w:t>
            </w:r>
            <w:r>
              <w:rPr>
                <w:rFonts w:hint="eastAsia" w:ascii="宋体" w:hAnsi="宋体" w:cs="宋体"/>
                <w:i w:val="0"/>
                <w:iCs w:val="0"/>
                <w:strike w:val="0"/>
                <w:color w:val="auto"/>
                <w:sz w:val="21"/>
                <w:szCs w:val="21"/>
                <w:u w:val="none"/>
                <w:lang w:val="en-US" w:eastAsia="zh-CN" w:bidi="ar"/>
              </w:rPr>
              <w:t xml:space="preserve">2</w:t>
            </w:r>
            <w:r>
              <w:rPr>
                <w:rFonts w:hint="eastAsia" w:ascii="宋体" w:hAnsi="宋体" w:eastAsia="宋体" w:cs="宋体"/>
                <w:i w:val="0"/>
                <w:iCs w:val="0"/>
                <w:strike w:val="0"/>
                <w:color w:val="auto"/>
                <w:sz w:val="21"/>
                <w:szCs w:val="21"/>
                <w:u w:val="none"/>
                <w:lang w:val="en-US" w:eastAsia="zh-CN" w:bidi="ar"/>
              </w:rPr>
              <w:t xml:space="preserve">、皮下组织：示脂肪、血管、神经。</w:t>
            </w:r>
            <w:r>
              <w:rPr>
                <w:rFonts w:hint="eastAsia" w:ascii="宋体" w:hAnsi="宋体" w:eastAsia="宋体" w:cs="宋体"/>
                <w:i w:val="0"/>
                <w:iCs w:val="0"/>
                <w:strike w:val="0"/>
                <w:color w:val="auto"/>
                <w:sz w:val="21"/>
                <w:szCs w:val="21"/>
                <w:u w:val="none"/>
                <w:lang w:val="en-US" w:eastAsia="zh-CN" w:bidi="ar"/>
              </w:rPr>
              <w:br/>
            </w:r>
            <w:r>
              <w:rPr>
                <w:rFonts w:hint="eastAsia" w:ascii="宋体" w:hAnsi="宋体" w:eastAsia="宋体" w:cs="宋体"/>
                <w:i w:val="0"/>
                <w:iCs w:val="0"/>
                <w:strike w:val="0"/>
                <w:color w:val="auto"/>
                <w:sz w:val="21"/>
                <w:szCs w:val="21"/>
                <w:u w:val="none"/>
                <w:lang w:val="en-US" w:eastAsia="zh-CN" w:bidi="ar"/>
              </w:rPr>
              <w:t xml:space="preserve">#</w:t>
            </w:r>
            <w:r>
              <w:rPr>
                <w:rFonts w:hint="eastAsia" w:ascii="宋体" w:hAnsi="宋体" w:cs="宋体"/>
                <w:i w:val="0"/>
                <w:iCs w:val="0"/>
                <w:strike w:val="0"/>
                <w:color w:val="auto"/>
                <w:sz w:val="21"/>
                <w:szCs w:val="21"/>
                <w:u w:val="none"/>
                <w:lang w:val="en-US" w:eastAsia="zh-CN" w:bidi="ar"/>
              </w:rPr>
              <w:t xml:space="preserve">3</w:t>
            </w:r>
            <w:r>
              <w:rPr>
                <w:rFonts w:hint="eastAsia" w:ascii="宋体" w:hAnsi="宋体" w:eastAsia="宋体" w:cs="宋体"/>
                <w:i w:val="0"/>
                <w:iCs w:val="0"/>
                <w:strike w:val="0"/>
                <w:color w:val="auto"/>
                <w:sz w:val="21"/>
                <w:szCs w:val="21"/>
                <w:u w:val="none"/>
                <w:lang w:val="en-US" w:eastAsia="zh-CN" w:bidi="ar"/>
              </w:rPr>
              <w:t xml:space="preserve">、皮肤的附属器官：</w:t>
            </w:r>
            <w:r>
              <w:rPr>
                <w:rFonts w:hint="eastAsia" w:ascii="宋体" w:hAnsi="宋体" w:eastAsia="宋体" w:cs="宋体"/>
                <w:i w:val="0"/>
                <w:iCs w:val="0"/>
                <w:strike w:val="0"/>
                <w:color w:val="auto"/>
                <w:sz w:val="21"/>
                <w:szCs w:val="21"/>
                <w:u w:val="none"/>
                <w:lang w:val="en-US" w:eastAsia="zh-CN" w:bidi="ar"/>
              </w:rPr>
              <w:br/>
            </w:r>
            <w:r>
              <w:rPr>
                <w:rFonts w:hint="eastAsia" w:ascii="宋体" w:hAnsi="宋体" w:eastAsia="宋体" w:cs="宋体"/>
                <w:i w:val="0"/>
                <w:iCs w:val="0"/>
                <w:strike w:val="0"/>
                <w:color w:val="auto"/>
                <w:sz w:val="21"/>
                <w:szCs w:val="21"/>
                <w:u w:val="none"/>
                <w:lang w:val="en-US" w:eastAsia="zh-CN" w:bidi="ar"/>
              </w:rPr>
              <w:t xml:space="preserve">⑴、汗腺：示盘绕成团分泌部分和皮肤表面引出导管的排泄部分。</w:t>
            </w:r>
            <w:r>
              <w:rPr>
                <w:rFonts w:hint="eastAsia" w:ascii="宋体" w:hAnsi="宋体" w:eastAsia="宋体" w:cs="宋体"/>
                <w:i w:val="0"/>
                <w:iCs w:val="0"/>
                <w:strike w:val="0"/>
                <w:color w:val="auto"/>
                <w:sz w:val="21"/>
                <w:szCs w:val="21"/>
                <w:u w:val="none"/>
                <w:lang w:val="en-US" w:eastAsia="zh-CN" w:bidi="ar"/>
              </w:rPr>
              <w:br/>
            </w:r>
            <w:r>
              <w:rPr>
                <w:rFonts w:hint="eastAsia" w:ascii="宋体" w:hAnsi="宋体" w:eastAsia="宋体" w:cs="宋体"/>
                <w:i w:val="0"/>
                <w:iCs w:val="0"/>
                <w:strike w:val="0"/>
                <w:color w:val="auto"/>
                <w:sz w:val="21"/>
                <w:szCs w:val="21"/>
                <w:u w:val="none"/>
                <w:lang w:val="en-US" w:eastAsia="zh-CN" w:bidi="ar"/>
              </w:rPr>
              <w:t xml:space="preserve">⑵、皮脂腺：位于毛囊与毛肌之间，示皮脂腺开口于毛囊内的外形和切面。</w:t>
            </w:r>
            <w:r>
              <w:rPr>
                <w:rFonts w:hint="eastAsia" w:ascii="宋体" w:hAnsi="宋体" w:eastAsia="宋体" w:cs="宋体"/>
                <w:i w:val="0"/>
                <w:iCs w:val="0"/>
                <w:strike w:val="0"/>
                <w:color w:val="auto"/>
                <w:sz w:val="21"/>
                <w:szCs w:val="21"/>
                <w:u w:val="none"/>
                <w:lang w:val="en-US" w:eastAsia="zh-CN" w:bidi="ar"/>
              </w:rPr>
              <w:br/>
            </w:r>
            <w:r>
              <w:rPr>
                <w:rFonts w:hint="eastAsia" w:ascii="宋体" w:hAnsi="宋体" w:eastAsia="宋体" w:cs="宋体"/>
                <w:i w:val="0"/>
                <w:iCs w:val="0"/>
                <w:strike w:val="0"/>
                <w:color w:val="auto"/>
                <w:sz w:val="21"/>
                <w:szCs w:val="21"/>
                <w:u w:val="none"/>
                <w:lang w:val="en-US" w:eastAsia="zh-CN" w:bidi="ar"/>
              </w:rPr>
              <w:t xml:space="preserve">⑶、毛囊：包括陷入皮内部分的毛根和毛囊以及露在皮肤表面的毛干。毛根的切面，示基部肥大的行球、凹向球内的毛乳头结构。</w:t>
            </w:r>
            <w:r>
              <w:rPr>
                <w:rFonts w:hint="eastAsia" w:ascii="宋体" w:hAnsi="宋体" w:eastAsia="宋体" w:cs="宋体"/>
                <w:i w:val="0"/>
                <w:iCs w:val="0"/>
                <w:strike w:val="0"/>
                <w:color w:val="auto"/>
                <w:sz w:val="21"/>
                <w:szCs w:val="21"/>
                <w:u w:val="none"/>
                <w:lang w:val="en-US" w:eastAsia="zh-CN" w:bidi="ar"/>
              </w:rPr>
              <w:br/>
            </w:r>
            <w:r>
              <w:rPr>
                <w:rFonts w:hint="eastAsia" w:ascii="宋体" w:hAnsi="宋体" w:eastAsia="宋体" w:cs="宋体"/>
                <w:i w:val="0"/>
                <w:iCs w:val="0"/>
                <w:strike w:val="0"/>
                <w:color w:val="auto"/>
                <w:sz w:val="21"/>
                <w:szCs w:val="21"/>
                <w:u w:val="none"/>
                <w:lang w:val="en-US" w:eastAsia="zh-CN" w:bidi="ar"/>
              </w:rPr>
              <w:t xml:space="preserve">#</w:t>
            </w:r>
            <w:r>
              <w:rPr>
                <w:rFonts w:hint="eastAsia" w:ascii="宋体" w:hAnsi="宋体" w:cs="宋体"/>
                <w:i w:val="0"/>
                <w:iCs w:val="0"/>
                <w:strike w:val="0"/>
                <w:color w:val="auto"/>
                <w:sz w:val="21"/>
                <w:szCs w:val="21"/>
                <w:u w:val="none"/>
                <w:lang w:val="en-US" w:eastAsia="zh-CN" w:bidi="ar"/>
              </w:rPr>
              <w:t xml:space="preserve">4</w:t>
            </w:r>
            <w:r>
              <w:rPr>
                <w:rFonts w:hint="eastAsia" w:ascii="宋体" w:hAnsi="宋体" w:eastAsia="宋体" w:cs="宋体"/>
                <w:i w:val="0"/>
                <w:iCs w:val="0"/>
                <w:strike w:val="0"/>
                <w:color w:val="auto"/>
                <w:sz w:val="21"/>
                <w:szCs w:val="21"/>
                <w:u w:val="none"/>
                <w:lang w:val="en-US" w:eastAsia="zh-CN" w:bidi="ar"/>
              </w:rPr>
              <w:t xml:space="preserve">、皮肤的神经血管：示从皮下组织分支到真皮形成血管网和由此再向上分布到毛乳头，向下分布到汗腺的小血管形态。</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AF1-62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肝、十二指肠、胰脏模型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该模型为自然大，以立体正常位置置于支架上。模型示肝、胰(胰尾与脾门相接，胰头被十二指肠所环抱）、十二指肠(上部按幽门处、升部的十二指肠空肠曲续空肠处作切除；降部作部分刨面）。示胆囊、胆囊管、左、右肝管和胆部管；示肝固有动脉及左、右支；示门静脉和下腔静脉；示脾动静脉；示胰管和副胰管及开口。</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AF1-63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肾单位、肾小体模型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放大的肾、肾单位及肾小体组成。产品应采用硬塑料或复合材料制作，示肾门、肾动脉、肾静脉、肾皮质、肾髂质、肾乳头、肾小盏、肾大盏、肾盂。产品应能在距地面1m高处自由下落，不得破裂和变形。</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AF1-64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心搏与血液循环模型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#1、示心动周期及大小循环，心壁可收缩及瓣膜可启闭</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16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AF1-65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人体肌肉模型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模型为正常人体按比例缩小的全身骨骼肌模型。产品用硬塑料或复合材料制作，置于支架或硬质底座上。模型主要示浅层骨骼肌和部分深层骨骼肌。正面示额肌、眼轮匝肌、口轮匝肌、咬肌、三角肌、胸锁乳突肌、胸大肌、肱二头肌、肱三头肌、</w:t>
            </w:r>
            <w:r>
              <w:rPr>
                <w:rFonts w:hint="eastAsia" w:ascii="宋体" w:hAnsi="宋体" w:cs="宋体"/>
                <w:i w:val="0"/>
                <w:iCs w:val="0"/>
                <w:color w:val="auto"/>
                <w:sz w:val="21"/>
                <w:szCs w:val="21"/>
                <w:u w:val="none"/>
                <w:lang w:val="en-US" w:eastAsia="zh-CN" w:bidi="ar"/>
              </w:rPr>
              <w:t xml:space="preserve">前臂</w:t>
            </w:r>
            <w:r>
              <w:rPr>
                <w:rFonts w:hint="eastAsia" w:ascii="宋体" w:hAnsi="宋体" w:eastAsia="宋体" w:cs="宋体"/>
                <w:i w:val="0"/>
                <w:iCs w:val="0"/>
                <w:color w:val="auto"/>
                <w:sz w:val="21"/>
                <w:szCs w:val="21"/>
                <w:u w:val="none"/>
                <w:lang w:val="en-US" w:eastAsia="zh-CN" w:bidi="ar"/>
              </w:rPr>
              <w:t xml:space="preserve">伸肌群、</w:t>
            </w:r>
            <w:r>
              <w:rPr>
                <w:rFonts w:hint="eastAsia" w:ascii="宋体" w:hAnsi="宋体" w:cs="宋体"/>
                <w:i w:val="0"/>
                <w:iCs w:val="0"/>
                <w:color w:val="auto"/>
                <w:sz w:val="21"/>
                <w:szCs w:val="21"/>
                <w:u w:val="none"/>
                <w:lang w:val="en-US" w:eastAsia="zh-CN" w:bidi="ar"/>
              </w:rPr>
              <w:t xml:space="preserve">前臂</w:t>
            </w:r>
            <w:r>
              <w:rPr>
                <w:rFonts w:hint="eastAsia" w:ascii="宋体" w:hAnsi="宋体" w:eastAsia="宋体" w:cs="宋体"/>
                <w:i w:val="0"/>
                <w:iCs w:val="0"/>
                <w:color w:val="auto"/>
                <w:sz w:val="21"/>
                <w:szCs w:val="21"/>
                <w:u w:val="none"/>
                <w:lang w:val="en-US" w:eastAsia="zh-CN" w:bidi="ar"/>
              </w:rPr>
              <w:t xml:space="preserve">屈肌群、腹外斜肌、腹直肌、缝匠肌、股直肌、口头肌、髌韧带等。反面示颞肌、枕肌、斜方肌、三角肌、肱二头肌、肱三头肌、前壁伸肌群、</w:t>
            </w:r>
            <w:r>
              <w:rPr>
                <w:rFonts w:hint="eastAsia" w:ascii="宋体" w:hAnsi="宋体" w:cs="宋体"/>
                <w:i w:val="0"/>
                <w:iCs w:val="0"/>
                <w:color w:val="auto"/>
                <w:sz w:val="21"/>
                <w:szCs w:val="21"/>
                <w:u w:val="none"/>
                <w:lang w:val="en-US" w:eastAsia="zh-CN" w:bidi="ar"/>
              </w:rPr>
              <w:t xml:space="preserve">前臂</w:t>
            </w:r>
            <w:r>
              <w:rPr>
                <w:rFonts w:hint="eastAsia" w:ascii="宋体" w:hAnsi="宋体" w:eastAsia="宋体" w:cs="宋体"/>
                <w:i w:val="0"/>
                <w:iCs w:val="0"/>
                <w:color w:val="auto"/>
                <w:sz w:val="21"/>
                <w:szCs w:val="21"/>
                <w:u w:val="none"/>
                <w:lang w:val="en-US" w:eastAsia="zh-CN" w:bidi="ar"/>
              </w:rPr>
              <w:t xml:space="preserve">屈肌群、背阔肌、腹外斜肌、臀大肌、股外肌、股二头肌、</w:t>
            </w:r>
            <w:r>
              <w:rPr>
                <w:rFonts w:hint="eastAsia" w:ascii="宋体" w:hAnsi="宋体" w:cs="宋体"/>
                <w:i w:val="0"/>
                <w:iCs w:val="0"/>
                <w:color w:val="auto"/>
                <w:sz w:val="21"/>
                <w:szCs w:val="21"/>
                <w:u w:val="none"/>
                <w:lang w:val="en-US" w:eastAsia="zh-CN" w:bidi="ar"/>
              </w:rPr>
              <w:t xml:space="preserve">半腱肌</w:t>
            </w:r>
            <w:r>
              <w:rPr>
                <w:rFonts w:hint="eastAsia" w:ascii="宋体" w:hAnsi="宋体" w:eastAsia="宋体" w:cs="宋体"/>
                <w:i w:val="0"/>
                <w:iCs w:val="0"/>
                <w:color w:val="auto"/>
                <w:sz w:val="21"/>
                <w:szCs w:val="21"/>
                <w:u w:val="none"/>
                <w:lang w:val="en-US" w:eastAsia="zh-CN" w:bidi="ar"/>
              </w:rPr>
              <w:t xml:space="preserve">、腓肠肌、比目鱼肌、跟腚等。产品应正确显示肌纤维形态结构走向，所示肌肉协调正确。各部的形态位置，比例和颜色等均应正确自然。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AF1-66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肘关节活动模型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#1．模型可展示肘关节伸展、弯曲和桡骨的旋转；自然大，有底座，附肩胛骨。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AF1-67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牙列及磨牙解剖模型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#1、产品由成人恒牙部分牙列和第二磨牙解剖模型组成，分别置于底座上，可水平转动或取下，模型采用PVC制作。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AF1-68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胃解剖模型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本模型示胃在中等度膨胀时的形状，区分为前壁、后壁、胃小弯和胃大弯。食管入胃处为贲门，胃移行于十二指肠处为幽门，胃中部为胃体以及胃从贲门向左上方的膨隆——胃底等的形态。模型作纵剖，显示：粘膜壁、幽门瓣、幽门括约肌，胃粘膜以及由食管向胃移行之粘膜等构造。胃前壁除去腹膜，显示由三层平滑肌纤维组成的肌织膜：外层为纵层，显现于小弯及大弯处，中层为环层，深层为斜纤维。</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AF1-69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尿的形成动态模型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#1、电动式发光显示尿形成；</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AF1-70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人体呼吸运动模型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#1．电动式，动态模拟人体呼吸运动时，肺及肋骨等相关器官的运动过程；透明的塑料人体外部形态和 PVC 塑料肋骨、胸骨、膈肌等内部结构构成；模型是由力学机械和同步电子电路程序控制组合成，能动态模拟呼吸运动；产品应设计为用集成电路控制、发光管显示模拟的人体呼吸运动机制模型；模型设计原理应正确，效果应清晰；能够演示出由于肋间肌的交替收缩与舒张而带动肋骨和胸骨位移，而使胸腔变粗变细</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能够由于膈肌的上下移动而使胸腔变长、变短的过程；模型电路控制部分应可靠、安全、使用方便，功率不大于 10W。</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9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AF1-71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膈肌运动模拟器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#1.本模型通过电动传杆周转运动，上下移动，显示呼吸运动的吸气和呼气两个过程                 </w:t>
            </w:r>
            <w:r>
              <w:rPr>
                <w:rFonts w:hint="eastAsia" w:ascii="宋体" w:hAnsi="宋体" w:eastAsia="宋体" w:cs="宋体"/>
                <w:i w:val="0"/>
                <w:iCs w:val="0"/>
                <w:color w:val="auto"/>
                <w:sz w:val="21"/>
                <w:szCs w:val="21"/>
                <w:u w:val="none"/>
                <w:lang w:val="en-US" w:eastAsia="zh-CN" w:bidi="ar"/>
              </w:rPr>
              <w:t xml:space="preserve">                                                                                                                                                                                                            显示胸廓的前面观，打开电建可见与呼吸运动有关的诸 结构胸肋关节，肋间外肌，膈肌，气管，左右支气管左右肺。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#3.演示吸气运动按吸气开关，可见：山与肋间外肌的收缩，使肋骨与胸骨向上和向外移动， 胸廓的前后径和左右径增大，同时膈肌收缩，其顶部下降，胸廓的上下径也增大，这样就扩大了整个胸廓的容积。肺也随之扩张，这时肺内的气压下降，低于大气压，是外界空气进入肺泡，完成吸气过程。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演示呼吸运动按呼气开关，可见：由于肋间外肌舒张，肋间内肌收缩，胸廓因故下降及重力和弹性作用而回位；同时膈肌舒张顶部回升，胸廓容积小，肺本身的弹性而回缩。这时肺内的气压回升，高于大气压力，迫使气体排出体外，完成呼气过程。按照每分钟30次的频率，让学生观察呼吸运动的</w:t>
            </w:r>
            <w:r>
              <w:rPr>
                <w:rFonts w:hint="eastAsia" w:ascii="宋体" w:hAnsi="宋体" w:cs="宋体"/>
                <w:i w:val="0"/>
                <w:iCs w:val="0"/>
                <w:color w:val="auto"/>
                <w:sz w:val="21"/>
                <w:szCs w:val="21"/>
                <w:u w:val="none"/>
                <w:lang w:val="en-US" w:eastAsia="zh-CN" w:bidi="ar"/>
              </w:rPr>
              <w:t xml:space="preserve">生动</w:t>
            </w:r>
            <w:r>
              <w:rPr>
                <w:rFonts w:hint="eastAsia" w:ascii="宋体" w:hAnsi="宋体" w:eastAsia="宋体" w:cs="宋体"/>
                <w:i w:val="0"/>
                <w:iCs w:val="0"/>
                <w:color w:val="auto"/>
                <w:sz w:val="21"/>
                <w:szCs w:val="21"/>
                <w:u w:val="none"/>
                <w:lang w:val="en-US" w:eastAsia="zh-CN" w:bidi="ar"/>
              </w:rPr>
              <w:t xml:space="preserve">过程</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AF1-72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护理人模型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#1、≥1700mm；热塑弹性体混合胶材质；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AF1-73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始祖鸟化石及复原模型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#1、产品由始祖鸟化石模型及复原模型组成，分别置于底座上，模型应采用硬塑料或复合材料制作。示头骨、脊柱、肋骨、附肢骨和羽毛印迹，各部形态正确清晰，并显示化石裂缝。</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AF1-74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鱼解剖浸制标本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用鲫或鲤制作。标本右侧向衬板，并展开背鳍或尾鳍，显示其外形。标本应完整显示动物的消化系、呼吸系、循环系、排泄系、生殖系等。血管内分注红、蓝两色剂。标本应完整无缺、并保持自然色。整体浸制在密封包装的标本瓶内，保存液须将标本完全浸没。标本瓶不得有漏液现象。</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AF1-75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蛙解剖浸制标本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w:t>
            </w:r>
            <w:r>
              <w:rPr>
                <w:rFonts w:hint="eastAsia" w:ascii="宋体" w:hAnsi="宋体" w:cs="宋体"/>
                <w:i w:val="0"/>
                <w:iCs w:val="0"/>
                <w:color w:val="auto"/>
                <w:sz w:val="21"/>
                <w:szCs w:val="21"/>
                <w:u w:val="none"/>
                <w:lang w:val="en-US" w:eastAsia="zh-CN" w:bidi="ar"/>
              </w:rPr>
              <w:t xml:space="preserve">大型</w:t>
            </w:r>
            <w:r>
              <w:rPr>
                <w:rFonts w:hint="eastAsia" w:ascii="宋体" w:hAnsi="宋体" w:eastAsia="宋体" w:cs="宋体"/>
                <w:i w:val="0"/>
                <w:iCs w:val="0"/>
                <w:color w:val="auto"/>
                <w:sz w:val="21"/>
                <w:szCs w:val="21"/>
                <w:u w:val="none"/>
                <w:lang w:val="en-US" w:eastAsia="zh-CN" w:bidi="ar"/>
              </w:rPr>
              <w:t xml:space="preserve">青蛙或蟾蜍制作。将躯干背面的皮向上方翻开，以显示皮下动、静脉之分布。标本应完整显示动物的消化系、呼吸系、循环系、排泄系、生殖系等。血管内分注红、蓝两色剂。标本的背面向衬板。标本应完整无缺、并保持自然色。整体浸制在密封包装的标本瓶内，保存液须将标本完全浸没。标本瓶不得有漏液现象。</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AF1-76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蜥蜴解剖浸制标本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由石龙子科、蜥蜴科中较大型的个体制作。标本沿腹中线切开，体壁翻向两侧，前、后肢自然伸展，肩带和腰带的腹面切掉。血管内分注红、蓝两种色剂。标本背面向衬板。标本应完整显示动物的消化系、呼吸系、循环系、排泄系、生殖系等。标本应完整无缺、并保持自然色。整体浸制在密封包装的标本瓶内，保存液须将标本完全浸没。标本瓶不得有漏液现象。</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AF1-77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鸽解剖浸制标本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标本背面向衬板，血管内分注红、蓝两色剂。保留头部羽毛，颈和前、后肢伸展，显示外部形态。左侧的胸肌翻向外侧，显示胸动、静脉在胸肌中的分布。标本应完整显示动物的消化系、呼吸系、循环系、排泄系、生殖系等。标本应完整无缺、并保持自然色。整体浸制在密封包装的标本瓶内，保存液须将标本完全浸没。标本瓶不得有漏液现象。</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AF1-78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兔解剖浸制标本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标本背面向衬板，四肢伸展，显示外部形态，血管内分注红、蓝两色剂。标本沿腹中线切开，将皮翻向两侧， 标本应完整显示动物的消化系、呼吸系、循环系、排泄系、生殖系等。标本应完整无缺、并保持自然色。整体浸制在密封包装的标本瓶内，保存液须将标本完全浸没。标本瓶不得有漏液现象。</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AF1-79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蛙发育顺序标本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由蛙的下列八个发育期组成：①单细胞期②尾牙期（已能区分头尾）③具外腮的蝌蚪④具内腮的蝌蚪⑤具后肢的蝌蚪⑥具前后肢蝌蚪⑦尾缩期的蝌蚪⑧幼蛙。①～③期在容器中不定位，④～⑧期以腹面向下定位。再按发育顺序自左向右排列。各期标本应完整无缺、饱满、肢体伸展（有肢体期），并保持自然色。</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AF1-80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蛔虫标本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#1．标本应完整无缺、并保持自然色。整体浸制在密封包装的标本瓶内。</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AF1-81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花序类型保色浸制标本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#1、不少于七种</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AF1-82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花冠类型保色浸制标本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#1、十字花科，豆科，菊科等七种</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AF1-83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褐藻类植物保色浸制标本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#1、海带等四种</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AF1-84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红藻类植物保色浸制标本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#1、紫菜等四种</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AF1-85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海葵标本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#1.干制标本，盒装，工艺精美，标本体无损坏。</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AF1-86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海蛰标本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#1.干制标本，盒装，工艺精美，标本体无损坏。</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AF1-87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寄居蟹标本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#1.干制标本，盒装，工艺精美，标本体无损坏。</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AF1-88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寄居蟹与其他生物共生标本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#1.干制标本，盒装，工艺精美，标本体无损坏。</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AF1-89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寄生绦虫囊尾蚴猪肉浸制标本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#1、动物学浸制标本，用于观察寄生绦虫囊尾蚴猪肉外部形态结构的教学与实验。</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AF1-90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珍贵植物保色浸制标本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#1、技术要求应符合DB51/T 1246-2011《珍贵植物保色浸制标本》的要求。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AF1-91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葫芦藓生活史标本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产品用葫芦藓制作，示藓类植物的不同世代。标本由（1）原丝体；（2）成长中的配子体；（3）具幼嫩孢蒴的配子体；（4）具成熟孢蒴的配子体（5）孢子体组成，按生活史顺序排列。</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AF1-92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蕨生活史标本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#1.产品用铁线制作，示蕨类植物的不同世代。标本由（1）带有孢子囊群的小羽片、（2）孢子、（3）原叶体（即配子体）、（4）原叶体幼孢子体、（5）孢子体组成，按生活史顺序排列。</w:t>
            </w:r>
            <w:r>
              <w:rPr>
                <w:rFonts w:hint="eastAsia" w:ascii="宋体" w:hAnsi="宋体" w:eastAsia="宋体" w:cs="宋体"/>
                <w:i w:val="0"/>
                <w:iCs w:val="0"/>
                <w:strike/>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 保管和运输的环境温度0～40℃，并避免光直射。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AF1-93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蝗虫生活史标本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产品用东亚飞蝗或亚洲飞蝗制作，示昆虫的不完全变态。标本由卵、一至五龄的跳蝻、雄性成虫、雌性成虫和被害物组成。卵和虫体浸制，分装于小容器内，虫体以腹面向下定位。按生活史顺序排列。卵不少于四粒并排列成行。期虫姿应一致，雌性成虫应大于雄性成虫。</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AF1-94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蜜蜂生活史标本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用意蜂或中蜂制作，示昆虫的完全变态，社会性昆虫不同类型的个体和其经济意义。产品由卵、中（或老）熟幼虫、蛹、工蜂、雄蜂和母蜂（蜂王）组成，附巢础、蜂巢（包括一个母蜂房）、蜂蜡和蜂蜜。按生活史顺序排列。卵、幼虫（以腹面向左定位）、蛹（以背面向下定位）、成虫（以腹面向下定位）浸制，各个标本分封或部分合封于小容器内。母蜂腹部最长，并保持丰满，雄蜂腹部应粗壮，腹末圆；工蜂可显示其口器端部。各成虫的姿势应一致。</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AF1-95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竹节虫拟态标本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#1、由竹节虫、竹叶组成。</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AF1-96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家蚕生活史标本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#1、供中学生物教学实验用的动物学昆虫标本，用于观察家蚕个体发育及其经济意义的教学与实验。</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AF1-97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菜粉蝶生活史标本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#1、供中学生物教学实验用，标本包括母本穗、父本穗、Ｆ１代穗、</w:t>
            </w:r>
            <w:r>
              <w:rPr>
                <w:rFonts w:hint="eastAsia" w:ascii="宋体" w:hAnsi="宋体" w:cs="宋体"/>
                <w:i w:val="0"/>
                <w:iCs w:val="0"/>
                <w:color w:val="auto"/>
                <w:sz w:val="21"/>
                <w:szCs w:val="21"/>
                <w:u w:val="none"/>
                <w:lang w:val="en-US" w:eastAsia="zh-CN" w:bidi="ar"/>
              </w:rPr>
              <w:t xml:space="preserve">F2</w:t>
            </w:r>
            <w:r>
              <w:rPr>
                <w:rFonts w:hint="eastAsia" w:ascii="宋体" w:hAnsi="宋体" w:eastAsia="宋体" w:cs="宋体"/>
                <w:i w:val="0"/>
                <w:iCs w:val="0"/>
                <w:color w:val="auto"/>
                <w:sz w:val="21"/>
                <w:szCs w:val="21"/>
                <w:u w:val="none"/>
                <w:lang w:val="en-US" w:eastAsia="zh-CN" w:bidi="ar"/>
              </w:rPr>
              <w:t xml:space="preserve">代穗的自交穗和测交穗</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个果穗。</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AF1-98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兔骨骼标本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#1．标本显示中轴骨骼的头骨、舌器骨、七块颈椎、十三块胸椎、七块腰椎、荐椎、十五至十八块尾椎、十三对肋骨和六</w:t>
            </w:r>
            <w:r>
              <w:rPr>
                <w:rFonts w:hint="eastAsia" w:ascii="宋体" w:hAnsi="宋体" w:cs="宋体"/>
                <w:i w:val="0"/>
                <w:iCs w:val="0"/>
                <w:color w:val="auto"/>
                <w:sz w:val="21"/>
                <w:szCs w:val="21"/>
                <w:u w:val="none"/>
                <w:lang w:val="en-US" w:eastAsia="zh-CN" w:bidi="ar"/>
              </w:rPr>
              <w:t xml:space="preserve">块</w:t>
            </w:r>
            <w:r>
              <w:rPr>
                <w:rFonts w:hint="eastAsia" w:ascii="宋体" w:hAnsi="宋体" w:eastAsia="宋体" w:cs="宋体"/>
                <w:i w:val="0"/>
                <w:iCs w:val="0"/>
                <w:color w:val="auto"/>
                <w:sz w:val="21"/>
                <w:szCs w:val="21"/>
                <w:u w:val="none"/>
                <w:lang w:val="en-US" w:eastAsia="zh-CN" w:bidi="ar"/>
              </w:rPr>
              <w:t xml:space="preserve">胸骨。标本显示附肢骨骼的肩胛骨、锁骨、肱骨、尺骨、桡骨、腕骨九块、掌骨五块、指骨五个、骨盆、股骨、膝盖骨、胫骨、腓骨、跗骨六块、骨四块、趾骨四个。</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AF1-99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鱼骨骼标本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由鳍条完整，骨骼形态正常的鲫鱼或鲤鱼制作。标本左侧的鳃盖骨和下鳃盖骨卸下，示头部的舌弓、鳃弓、肩带与头骨之连接方式和围耳骨等形态结构，另附尾椎一条。标本以自然形态安装定位，从左右两面显示中轴骨骼的头骨（包括颅骨和咽骨）、脊柱、肋骨；附肢骨骼的肩带和胸鳍骨、腰带和腹鳍的鳍条、背鳍骨、臀髓骨和尾鳍骨（包括七块尾上骨、五块尾下骨和鳍条）。骨骼以原位组装。</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AF1-100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蛙骨骼标本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#1、动物学骨骼标本，用于观察蛙骨骼形态结构的教学与实验。</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AF1-101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鸽骨骼标本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#1、采用家鸽制作。选用成年家鸽制作。家鸽以自然站立姿态固定在密封的透明树脂外壳中，多附颈椎骨一块。</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AF1-102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褐藻类植物原色覆膜标本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选用发育正常的褐藻门植物海带、裙带菜、鹿角菜、海蒿子等四种植物干制而成。示褐藻类植物的主要特征。标本应经保色或染色处理。标本的枝叶应展开，不得太密，并保持完整。标本应装订在台纸的中间，注意比例适中，应装防虫剂。标本选用形态自然，构造完整，色泽正常，发育良好的植株为材料制作。标本经保色处理后，面上由透明覆膜密封，覆膜工艺应平整、严密。标本须注明名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AF1-103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红藻类植物原色覆膜标本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选用发育正常的红藻门植物紫菜、石花菜、海索面（蜈蚣藻）、海萝等四种植物干制而成。示红藻类植物的主要特征。标本应经保色或染色处理。标本的枝叶应展开，不得太密，并保持完整。标本应装订在台纸的中间，注意比例适中，应装防虫剂。标本选用形态自然，构造完整，色泽正常，发育良好的植株为材料制作。标本经保色处理后，面上由透明覆膜密封，覆膜工艺应平整、严密。标本须注明名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AF1-104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珊瑚标本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#1、红珊瑚或</w:t>
            </w:r>
            <w:r>
              <w:rPr>
                <w:rFonts w:hint="eastAsia" w:ascii="宋体" w:hAnsi="宋体" w:cs="宋体"/>
                <w:i w:val="0"/>
                <w:iCs w:val="0"/>
                <w:color w:val="auto"/>
                <w:sz w:val="21"/>
                <w:szCs w:val="21"/>
                <w:u w:val="none"/>
                <w:lang w:val="en-US" w:eastAsia="zh-CN" w:bidi="ar"/>
              </w:rPr>
              <w:t xml:space="preserve">其他</w:t>
            </w:r>
            <w:r>
              <w:rPr>
                <w:rFonts w:hint="eastAsia" w:ascii="宋体" w:hAnsi="宋体" w:eastAsia="宋体" w:cs="宋体"/>
                <w:i w:val="0"/>
                <w:iCs w:val="0"/>
                <w:color w:val="auto"/>
                <w:sz w:val="21"/>
                <w:szCs w:val="21"/>
                <w:u w:val="none"/>
                <w:lang w:val="en-US" w:eastAsia="zh-CN" w:bidi="ar"/>
              </w:rPr>
              <w:t xml:space="preserve">珊瑚的具骨轴、其肉和虫体的标本。</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AF1-105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化石标本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标本应选用三叶虫、鱼和植物的化石组成2</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AF1-106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节肢动物标本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#1、常见六种以上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AF1-107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昆虫标本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#1、常见六种以上,益虫标本种类为：蚂蚁，异色瓢虫，宽肩步甲，蜻蜓等，害虫标本种类为：金龟子，梨蝽，负蝗，蝗虫等。</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AF1-108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80x和200x学生显微镜下观察单子叶植物茎横断面的结构。能看清表皮、散生维管束、薄壁组织。表皮为一层排列整齐的细胞，表皮下有一圈机械组织。标本取材于人工培养的玉米茎，取节间部位。切片厚度在25μm以内。切面应与纵轴垂直，表皮、机械组织、薄壁组织、维管束等处细胞倾斜不超过茎的1／4。标本用蕃红、固绿染色，木质导管、机械组织呈红色，其他组织绿色。</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AF1-109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#1、符合双子叶植物茎横切技术条件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AF1-110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蚕豆叶下表皮装片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标本在80x和200x学生显微镜下观察叶下表皮形态和气孔结构</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能看清不规则形的下表皮细胞，及其胞核和分散在下表皮细胞间的气孔。能看清正常开放的气孔形态和新月形的保卫细胞、胞核和叶绿体。标本取材于新鲜的、气孔开放的蚕豆叶。标本为平铺装片，每片材料不小于2x2mm，四周剪切整齐。材料整洁，不附带叶肉等其他组织，保卫细胞不收缩。闭合气孔不得超过2／3。胞质着色均匀，胞核明显，细胞界限清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AF1-111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松叶横切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#1、松叶材质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AF1-112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胞间连丝切片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标本在400×生物显微镜下观察植物细胞的胞间连丝形态。能看清胚乳的多边形厚壁贮藏细胞，认出细胞壁、胞间层和细胞腔。能看清许多细小的胞间连丝将两个相邻细胞的原生质体连在一起。标本取材于秋、冬季节的柿或黑枣的种子。切片厚度不超过20μm。材料面积不小于1.5mm2，细胞不倾斜。标本用能显示胞间连丝的方法染色。胞间连丝着色应明显，细胞界限清楚，胞质色淡。有50%以上细胞能显示胞间连丝。材料四周剪切整齐，无染液的沉淀物。</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AF1-113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地衣切片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产品取材于地衣门（Lichende）叶状地衣（foliose-lichen）的一种，示异层地衣的结构。应示由紧密交织的菌丝组成的上皮层和下皮层，有疏松菌丝及藻类细胞组成的髓层、藻胞层。在上皮层或下皮层处可有各种附属物的结构。标本为双重染色，藻菌类染色有鲜明对比，分色适当，色泽协调。标本为地衣体的纵切片，切片厚度不超过108μm，材料长度不短于3mm，每张玻片横放材料一至二片。材料的刀痕或破损不超过二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AF1-114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蕨叶切片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取材于地衣门（Lichende）叶状地衣（foliose-lichen）的一种，示异层地衣的结构。应示由紧密交织的菌丝组成的上皮层和下皮层，有疏松菌丝及藻类细胞组成的髓层、藻胞层。在上皮层或下皮层处可有各种附属物的结构。标本为双重染色，藻菌类染色有鲜明对比，分色适当，色泽协调。标本为地衣体的纵切片，切片厚度不超过108μm，材料长度不短于3mm，每张玻片横放材料一至二片。材料的刀痕或破损不超过二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AF1-115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蕨原叶体装片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取材于真蕨纲（Filicinae）中的一种蕨原叶体，示原叶体的形态和生殖器官的结构。原叶体上应显示精子器或颈卵器（也可兼有）和假根。标本为单一染色或双重染色，分色适当，色泽协调。标本为原叶体腹面向上的整体装片。标本呈心形或基本呈心形，其“心”形的凹陷部应明显，细胞无明显收缩，</w:t>
            </w:r>
            <w:r>
              <w:rPr>
                <w:rFonts w:hint="eastAsia" w:ascii="宋体" w:hAnsi="宋体" w:cs="宋体"/>
                <w:i w:val="0"/>
                <w:iCs w:val="0"/>
                <w:color w:val="auto"/>
                <w:sz w:val="21"/>
                <w:szCs w:val="21"/>
                <w:u w:val="none"/>
                <w:lang w:val="en-US" w:eastAsia="zh-CN" w:bidi="ar"/>
              </w:rPr>
              <w:t xml:space="preserve">原</w:t>
            </w:r>
            <w:r>
              <w:rPr>
                <w:rFonts w:hint="eastAsia" w:ascii="宋体" w:hAnsi="宋体" w:eastAsia="宋体" w:cs="宋体"/>
                <w:i w:val="0"/>
                <w:iCs w:val="0"/>
                <w:color w:val="auto"/>
                <w:sz w:val="21"/>
                <w:szCs w:val="21"/>
                <w:u w:val="none"/>
                <w:lang w:val="en-US" w:eastAsia="zh-CN" w:bidi="ar"/>
              </w:rPr>
              <w:t xml:space="preserve">本完整、不破损，假根部基本无泥沙附着。</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663"/>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AF1-116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蕨原叶体幼孢子体装片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取材于真蕨纲（Filicinae）中的一种具幼孢子体的原叶体并示其形态。原叶体上有根、茎和伸出的第一叶。标本为单一染色或双重染色，分色适当，色泽协调。标本为整体装片，原叶体外形基本正常，可稍有缺陷，假根部基本无泥沙附着，幼孢子体形态正常，根不断，叶不皱，无破损。</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AF1-117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花粉萌发装片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取材于石蒜科（Amaryllidaceae）朱顶兰（AmaryllisVittata）的花粉，经人工培养示花粉粒和花粉管的结构；应示出未萌发的花粉、刚萌发花粉管的花粉，且其花粉管长度超过花粉的直径萌发的花粉管长度超过花粉粒直径多倍，</w:t>
            </w:r>
            <w:r>
              <w:rPr>
                <w:rFonts w:hint="eastAsia" w:ascii="宋体" w:hAnsi="宋体" w:cs="宋体"/>
                <w:i w:val="0"/>
                <w:iCs w:val="0"/>
                <w:color w:val="auto"/>
                <w:sz w:val="21"/>
                <w:szCs w:val="21"/>
                <w:u w:val="none"/>
                <w:lang w:val="en-US" w:eastAsia="zh-CN" w:bidi="ar"/>
              </w:rPr>
              <w:t xml:space="preserve">并显</w:t>
            </w:r>
            <w:r>
              <w:rPr>
                <w:rFonts w:hint="eastAsia" w:ascii="宋体" w:hAnsi="宋体" w:eastAsia="宋体" w:cs="宋体"/>
                <w:i w:val="0"/>
                <w:iCs w:val="0"/>
                <w:color w:val="auto"/>
                <w:sz w:val="21"/>
                <w:szCs w:val="21"/>
                <w:u w:val="none"/>
                <w:lang w:val="en-US" w:eastAsia="zh-CN" w:bidi="ar"/>
              </w:rPr>
              <w:t xml:space="preserve">示花粉管内的营养核或生殖核；标本为花粉萌发各期的混合装片，每张玻片上应达到 1 的要求并在 40×生物显微镜视野内同时看到；标本为双重染色，分色适当，色泽协调；花粉粒和花粉管不得断离、收缩，花粉和花粉管外不粘附污物；</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AF1-118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百合子房切片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#1、应符合JY</w:t>
            </w:r>
            <w:r>
              <w:rPr>
                <w:rFonts w:hint="eastAsia" w:ascii="宋体" w:hAnsi="宋体" w:cs="宋体"/>
                <w:i w:val="0"/>
                <w:iCs w:val="0"/>
                <w:color w:val="auto"/>
                <w:sz w:val="21"/>
                <w:szCs w:val="21"/>
                <w:highlight w:val="none"/>
                <w:u w:val="none"/>
                <w:lang w:val="en-US" w:eastAsia="zh-CN" w:bidi="ar"/>
              </w:rPr>
              <w:t xml:space="preserve">/T 00</w:t>
            </w:r>
            <w:r>
              <w:rPr>
                <w:rFonts w:hint="eastAsia" w:ascii="宋体" w:hAnsi="宋体" w:eastAsia="宋体" w:cs="宋体"/>
                <w:i w:val="0"/>
                <w:iCs w:val="0"/>
                <w:color w:val="auto"/>
                <w:sz w:val="21"/>
                <w:szCs w:val="21"/>
                <w:highlight w:val="none"/>
                <w:u w:val="none"/>
                <w:lang w:val="en-US" w:eastAsia="zh-CN" w:bidi="ar"/>
              </w:rPr>
              <w:t xml:space="preserve">67</w:t>
            </w:r>
            <w:r>
              <w:rPr>
                <w:rFonts w:hint="eastAsia" w:ascii="宋体" w:hAnsi="宋体" w:cs="宋体"/>
                <w:i w:val="0"/>
                <w:iCs w:val="0"/>
                <w:color w:val="auto"/>
                <w:sz w:val="21"/>
                <w:szCs w:val="21"/>
                <w:highlight w:val="none"/>
                <w:u w:val="none"/>
                <w:lang w:val="en-US" w:eastAsia="zh-CN" w:bidi="ar"/>
              </w:rPr>
              <w:t xml:space="preserve">-2011</w:t>
            </w:r>
            <w:r>
              <w:rPr>
                <w:rFonts w:hint="eastAsia" w:ascii="宋体" w:hAnsi="宋体" w:eastAsia="宋体" w:cs="宋体"/>
                <w:i w:val="0"/>
                <w:iCs w:val="0"/>
                <w:color w:val="auto"/>
                <w:sz w:val="21"/>
                <w:szCs w:val="21"/>
                <w:highlight w:val="none"/>
                <w:u w:val="none"/>
                <w:lang w:val="en-US" w:eastAsia="zh-CN" w:bidi="ar"/>
              </w:rPr>
              <w:t xml:space="preserve">《生物玻片标本通用</w:t>
            </w:r>
            <w:r>
              <w:rPr>
                <w:rFonts w:hint="eastAsia" w:ascii="宋体" w:hAnsi="宋体" w:cs="宋体"/>
                <w:i w:val="0"/>
                <w:iCs w:val="0"/>
                <w:color w:val="auto"/>
                <w:sz w:val="21"/>
                <w:szCs w:val="21"/>
                <w:highlight w:val="none"/>
                <w:u w:val="none"/>
                <w:lang w:val="en-US" w:eastAsia="zh-CN" w:bidi="ar"/>
              </w:rPr>
              <w:t xml:space="preserve">要求</w:t>
            </w:r>
            <w:r>
              <w:rPr>
                <w:rFonts w:hint="eastAsia" w:ascii="宋体" w:hAnsi="宋体" w:eastAsia="宋体" w:cs="宋体"/>
                <w:i w:val="0"/>
                <w:iCs w:val="0"/>
                <w:color w:val="auto"/>
                <w:sz w:val="21"/>
                <w:szCs w:val="21"/>
                <w:highlight w:val="none"/>
                <w:u w:val="none"/>
                <w:lang w:val="en-US" w:eastAsia="zh-CN" w:bidi="ar"/>
              </w:rPr>
              <w:t xml:space="preserve">》的规定。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AF1-119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百合花药切片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#1、应符合JY</w:t>
            </w:r>
            <w:r>
              <w:rPr>
                <w:rFonts w:hint="eastAsia" w:ascii="宋体" w:hAnsi="宋体" w:cs="宋体"/>
                <w:i w:val="0"/>
                <w:iCs w:val="0"/>
                <w:color w:val="auto"/>
                <w:sz w:val="21"/>
                <w:szCs w:val="21"/>
                <w:highlight w:val="none"/>
                <w:u w:val="none"/>
                <w:lang w:val="en-US" w:eastAsia="zh-CN" w:bidi="ar"/>
              </w:rPr>
              <w:t xml:space="preserve">/T 00</w:t>
            </w:r>
            <w:r>
              <w:rPr>
                <w:rFonts w:hint="eastAsia" w:ascii="宋体" w:hAnsi="宋体" w:eastAsia="宋体" w:cs="宋体"/>
                <w:i w:val="0"/>
                <w:iCs w:val="0"/>
                <w:color w:val="auto"/>
                <w:sz w:val="21"/>
                <w:szCs w:val="21"/>
                <w:highlight w:val="none"/>
                <w:u w:val="none"/>
                <w:lang w:val="en-US" w:eastAsia="zh-CN" w:bidi="ar"/>
              </w:rPr>
              <w:t xml:space="preserve">67</w:t>
            </w:r>
            <w:r>
              <w:rPr>
                <w:rFonts w:hint="eastAsia" w:ascii="宋体" w:hAnsi="宋体" w:cs="宋体"/>
                <w:i w:val="0"/>
                <w:iCs w:val="0"/>
                <w:color w:val="auto"/>
                <w:sz w:val="21"/>
                <w:szCs w:val="21"/>
                <w:highlight w:val="none"/>
                <w:u w:val="none"/>
                <w:lang w:val="en-US" w:eastAsia="zh-CN" w:bidi="ar"/>
              </w:rPr>
              <w:t xml:space="preserve">-2011</w:t>
            </w:r>
            <w:r>
              <w:rPr>
                <w:rFonts w:hint="eastAsia" w:ascii="宋体" w:hAnsi="宋体" w:eastAsia="宋体" w:cs="宋体"/>
                <w:i w:val="0"/>
                <w:iCs w:val="0"/>
                <w:color w:val="auto"/>
                <w:sz w:val="21"/>
                <w:szCs w:val="21"/>
                <w:highlight w:val="none"/>
                <w:u w:val="none"/>
                <w:lang w:val="en-US" w:eastAsia="zh-CN" w:bidi="ar"/>
              </w:rPr>
              <w:t xml:space="preserve">《生物玻片标本通用</w:t>
            </w:r>
            <w:r>
              <w:rPr>
                <w:rFonts w:hint="eastAsia" w:ascii="宋体" w:hAnsi="宋体" w:cs="宋体"/>
                <w:i w:val="0"/>
                <w:iCs w:val="0"/>
                <w:color w:val="auto"/>
                <w:sz w:val="21"/>
                <w:szCs w:val="21"/>
                <w:highlight w:val="none"/>
                <w:u w:val="none"/>
                <w:lang w:val="en-US" w:eastAsia="zh-CN" w:bidi="ar"/>
              </w:rPr>
              <w:t xml:space="preserve">要求</w:t>
            </w:r>
            <w:r>
              <w:rPr>
                <w:rFonts w:hint="eastAsia" w:ascii="宋体" w:hAnsi="宋体" w:eastAsia="宋体" w:cs="宋体"/>
                <w:i w:val="0"/>
                <w:iCs w:val="0"/>
                <w:color w:val="auto"/>
                <w:sz w:val="21"/>
                <w:szCs w:val="21"/>
                <w:highlight w:val="none"/>
                <w:u w:val="none"/>
                <w:lang w:val="en-US" w:eastAsia="zh-CN" w:bidi="ar"/>
              </w:rPr>
              <w:t xml:space="preserve">》的规定。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AF1-120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荠菜幼胚切片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#1、应符合JY</w:t>
            </w:r>
            <w:r>
              <w:rPr>
                <w:rFonts w:hint="eastAsia" w:ascii="宋体" w:hAnsi="宋体" w:cs="宋体"/>
                <w:i w:val="0"/>
                <w:iCs w:val="0"/>
                <w:color w:val="auto"/>
                <w:sz w:val="21"/>
                <w:szCs w:val="21"/>
                <w:highlight w:val="none"/>
                <w:u w:val="none"/>
                <w:lang w:val="en-US" w:eastAsia="zh-CN" w:bidi="ar"/>
              </w:rPr>
              <w:t xml:space="preserve">/T 00</w:t>
            </w:r>
            <w:r>
              <w:rPr>
                <w:rFonts w:hint="eastAsia" w:ascii="宋体" w:hAnsi="宋体" w:eastAsia="宋体" w:cs="宋体"/>
                <w:i w:val="0"/>
                <w:iCs w:val="0"/>
                <w:color w:val="auto"/>
                <w:sz w:val="21"/>
                <w:szCs w:val="21"/>
                <w:highlight w:val="none"/>
                <w:u w:val="none"/>
                <w:lang w:val="en-US" w:eastAsia="zh-CN" w:bidi="ar"/>
              </w:rPr>
              <w:t xml:space="preserve">67</w:t>
            </w:r>
            <w:r>
              <w:rPr>
                <w:rFonts w:hint="eastAsia" w:ascii="宋体" w:hAnsi="宋体" w:cs="宋体"/>
                <w:i w:val="0"/>
                <w:iCs w:val="0"/>
                <w:color w:val="auto"/>
                <w:sz w:val="21"/>
                <w:szCs w:val="21"/>
                <w:highlight w:val="none"/>
                <w:u w:val="none"/>
                <w:lang w:val="en-US" w:eastAsia="zh-CN" w:bidi="ar"/>
              </w:rPr>
              <w:t xml:space="preserve">-2011</w:t>
            </w:r>
            <w:r>
              <w:rPr>
                <w:rFonts w:hint="eastAsia" w:ascii="宋体" w:hAnsi="宋体" w:eastAsia="宋体" w:cs="宋体"/>
                <w:i w:val="0"/>
                <w:iCs w:val="0"/>
                <w:color w:val="auto"/>
                <w:sz w:val="21"/>
                <w:szCs w:val="21"/>
                <w:highlight w:val="none"/>
                <w:u w:val="none"/>
                <w:lang w:val="en-US" w:eastAsia="zh-CN" w:bidi="ar"/>
              </w:rPr>
              <w:t xml:space="preserve">《生物玻片标本通用</w:t>
            </w:r>
            <w:r>
              <w:rPr>
                <w:rFonts w:hint="eastAsia" w:ascii="宋体" w:hAnsi="宋体" w:cs="宋体"/>
                <w:i w:val="0"/>
                <w:iCs w:val="0"/>
                <w:color w:val="auto"/>
                <w:sz w:val="21"/>
                <w:szCs w:val="21"/>
                <w:highlight w:val="none"/>
                <w:u w:val="none"/>
                <w:lang w:val="en-US" w:eastAsia="zh-CN" w:bidi="ar"/>
              </w:rPr>
              <w:t xml:space="preserve">要求</w:t>
            </w:r>
            <w:r>
              <w:rPr>
                <w:rFonts w:hint="eastAsia" w:ascii="宋体" w:hAnsi="宋体" w:eastAsia="宋体" w:cs="宋体"/>
                <w:i w:val="0"/>
                <w:iCs w:val="0"/>
                <w:color w:val="auto"/>
                <w:sz w:val="21"/>
                <w:szCs w:val="21"/>
                <w:highlight w:val="none"/>
                <w:u w:val="none"/>
                <w:lang w:val="en-US" w:eastAsia="zh-CN" w:bidi="ar"/>
              </w:rPr>
              <w:t xml:space="preserve">》的规定。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AF1-121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荠菜老胚切片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#1、应符合JY</w:t>
            </w:r>
            <w:r>
              <w:rPr>
                <w:rFonts w:hint="eastAsia" w:ascii="宋体" w:hAnsi="宋体" w:cs="宋体"/>
                <w:i w:val="0"/>
                <w:iCs w:val="0"/>
                <w:color w:val="auto"/>
                <w:sz w:val="21"/>
                <w:szCs w:val="21"/>
                <w:highlight w:val="none"/>
                <w:u w:val="none"/>
                <w:lang w:val="en-US" w:eastAsia="zh-CN" w:bidi="ar"/>
              </w:rPr>
              <w:t xml:space="preserve">/T 00</w:t>
            </w:r>
            <w:r>
              <w:rPr>
                <w:rFonts w:hint="eastAsia" w:ascii="宋体" w:hAnsi="宋体" w:eastAsia="宋体" w:cs="宋体"/>
                <w:i w:val="0"/>
                <w:iCs w:val="0"/>
                <w:color w:val="auto"/>
                <w:sz w:val="21"/>
                <w:szCs w:val="21"/>
                <w:highlight w:val="none"/>
                <w:u w:val="none"/>
                <w:lang w:val="en-US" w:eastAsia="zh-CN" w:bidi="ar"/>
              </w:rPr>
              <w:t xml:space="preserve">67</w:t>
            </w:r>
            <w:r>
              <w:rPr>
                <w:rFonts w:hint="eastAsia" w:ascii="宋体" w:hAnsi="宋体" w:cs="宋体"/>
                <w:i w:val="0"/>
                <w:iCs w:val="0"/>
                <w:color w:val="auto"/>
                <w:sz w:val="21"/>
                <w:szCs w:val="21"/>
                <w:highlight w:val="none"/>
                <w:u w:val="none"/>
                <w:lang w:val="en-US" w:eastAsia="zh-CN" w:bidi="ar"/>
              </w:rPr>
              <w:t xml:space="preserve">-2011</w:t>
            </w:r>
            <w:r>
              <w:rPr>
                <w:rFonts w:hint="eastAsia" w:ascii="宋体" w:hAnsi="宋体" w:eastAsia="宋体" w:cs="宋体"/>
                <w:i w:val="0"/>
                <w:iCs w:val="0"/>
                <w:color w:val="auto"/>
                <w:sz w:val="21"/>
                <w:szCs w:val="21"/>
                <w:highlight w:val="none"/>
                <w:u w:val="none"/>
                <w:lang w:val="en-US" w:eastAsia="zh-CN" w:bidi="ar"/>
              </w:rPr>
              <w:t xml:space="preserve">《生物玻片标本通用</w:t>
            </w:r>
            <w:r>
              <w:rPr>
                <w:rFonts w:hint="eastAsia" w:ascii="宋体" w:hAnsi="宋体" w:cs="宋体"/>
                <w:i w:val="0"/>
                <w:iCs w:val="0"/>
                <w:color w:val="auto"/>
                <w:sz w:val="21"/>
                <w:szCs w:val="21"/>
                <w:highlight w:val="none"/>
                <w:u w:val="none"/>
                <w:lang w:val="en-US" w:eastAsia="zh-CN" w:bidi="ar"/>
              </w:rPr>
              <w:t xml:space="preserve">要求</w:t>
            </w:r>
            <w:r>
              <w:rPr>
                <w:rFonts w:hint="eastAsia" w:ascii="宋体" w:hAnsi="宋体" w:eastAsia="宋体" w:cs="宋体"/>
                <w:i w:val="0"/>
                <w:iCs w:val="0"/>
                <w:color w:val="auto"/>
                <w:sz w:val="21"/>
                <w:szCs w:val="21"/>
                <w:highlight w:val="none"/>
                <w:u w:val="none"/>
                <w:lang w:val="en-US" w:eastAsia="zh-CN" w:bidi="ar"/>
              </w:rPr>
              <w:t xml:space="preserve">》的规定。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片</w:t>
            </w:r>
            <w:r/>
          </w:p>
        </w:tc>
      </w:tr>
      <w:tr>
        <w:trPr>
          <w:trHeight w:val="2484"/>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AF1-122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玉米种子纵切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50×和200×显微镜下观察玉米种子纵切面的结构。能看清果皮、种皮、糊粉层、胚和胚乳。能看清胚内的胚芽（包括幼叶和生长锥）、胚芽鞘、胚根、胚根鞘、胚轴及一侧的一片子叶，并可见维管束。取材于</w:t>
            </w:r>
            <w:r>
              <w:rPr>
                <w:rFonts w:hint="eastAsia" w:ascii="宋体" w:hAnsi="宋体" w:cs="宋体"/>
                <w:i w:val="0"/>
                <w:iCs w:val="0"/>
                <w:color w:val="auto"/>
                <w:sz w:val="21"/>
                <w:szCs w:val="21"/>
                <w:u w:val="none"/>
                <w:lang w:val="en-US" w:eastAsia="zh-CN" w:bidi="ar"/>
              </w:rPr>
              <w:t xml:space="preserve">未</w:t>
            </w:r>
            <w:r>
              <w:rPr>
                <w:rFonts w:hint="eastAsia" w:ascii="宋体" w:hAnsi="宋体" w:eastAsia="宋体" w:cs="宋体"/>
                <w:i w:val="0"/>
                <w:iCs w:val="0"/>
                <w:color w:val="auto"/>
                <w:sz w:val="21"/>
                <w:szCs w:val="21"/>
                <w:u w:val="none"/>
                <w:lang w:val="en-US" w:eastAsia="zh-CN" w:bidi="ar"/>
              </w:rPr>
              <w:t xml:space="preserve">成熟的玉米种子。做玉米种子的纵切，每张玻片放材料一片。果皮与种皮不得脱离。胚内的各种结构应完整。</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AF1-123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洋葱鳞片叶表皮装片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#1．标本在80×和200×学生显微镜下观察鳞片叶表皮形态和结构。能看清鳞片叶表皮的长方形细胞，并具细胞核。标本取材于洋葱鳞片叶表皮。标本为平铺装片，每片材料不小于2×2mm，四周须剪整齐。</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1027"/>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AF1-124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衣藻装片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取材于绿藻门（Chlorophyta）衣藻属（Chlamydomonas）中个体较大者，示衣藻细胞的结构。应显示衣藻为单细胞，球形或卵形。应显示细胞壁，杯状叶绿体，蛋白核（造粉核、淀粉核）细胞核，鞭毛。标本染色清晰，分色适当，色泽协调。材料纯净，不密集成团，细胞不皱缩。在100×镜下的任一视野内，衣藻数不少于20个，其中有鞭毛的衣藻不少于总数的1/5。产品使用的载玻片和盖玻片，</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AF1-125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酵母菌装片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100x和400x生物显微镜下观察酵母菌的形态。酵母菌为单细胞卵圆形。在不同的染色情况下，能看清细胞壁、细胞质、细胞核和液泡等。在菌体上可看清出芽生殖，分别具一、二或多个芽。标本取材于人工培养的体大的酵母菌。材料应纯净，无杂菌、污物，不密集成团。</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AF1-126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水绵接合生殖装片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#1．标本取用具梯形接合的、细胞壁为平滑型的任一种水绵。标本包括有营养细胞和接合生殖各期的藻丝，细胞不收缩，藻丝不堆集或缠绕</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标本为铁苏木精染色，可复染固绿。核、叶绿体等明显，胞质均匀，接合子内的胞核叶绿体也应区别清楚。除少数接合管处，标本应清洁无污物，不混有</w:t>
            </w:r>
            <w:r>
              <w:rPr>
                <w:rFonts w:hint="eastAsia" w:ascii="宋体" w:hAnsi="宋体" w:cs="宋体"/>
                <w:i w:val="0"/>
                <w:iCs w:val="0"/>
                <w:color w:val="auto"/>
                <w:sz w:val="21"/>
                <w:szCs w:val="21"/>
                <w:u w:val="none"/>
                <w:lang w:val="en-US" w:eastAsia="zh-CN" w:bidi="ar"/>
              </w:rPr>
              <w:t xml:space="preserve">其他</w:t>
            </w:r>
            <w:r>
              <w:rPr>
                <w:rFonts w:hint="eastAsia" w:ascii="宋体" w:hAnsi="宋体" w:eastAsia="宋体" w:cs="宋体"/>
                <w:i w:val="0"/>
                <w:iCs w:val="0"/>
                <w:color w:val="auto"/>
                <w:sz w:val="21"/>
                <w:szCs w:val="21"/>
                <w:u w:val="none"/>
                <w:lang w:val="en-US" w:eastAsia="zh-CN" w:bidi="ar"/>
              </w:rPr>
              <w:t xml:space="preserve">藻类。</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AF1-127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水绵装片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80×和200×学生显微镜下观察水绵营养时期的结构。能看清丝状体内圆柱形的营养细胞，位于中央的胞核，呈星芒状的原生质、平立的细胞横壁，作螺旋盘绕的叶绿体呈带状，以及纵列于叶绿体上的蛋白核等。应取材于营养时期的水绵材料，细胞不收缩，藻丝不严重堆集或缠绕（不影响观察）。标本为铁苏木精与固绿双重染色，标本应清洁无污物，不混有其他藻类。</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AF1-128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团藻装片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50×和100×生物显微镜下，观察团藻具子群体的形态。能看清由大量细胞构成的一个空心球体和球体内不同发育期的若干子群体。能认出形成球体的细胞只有一层，并且形态相同，从表面上观察细胞为多边形，中间有核。标本取材应</w:t>
            </w:r>
            <w:r>
              <w:rPr>
                <w:rFonts w:hint="eastAsia" w:ascii="宋体" w:hAnsi="宋体" w:cs="宋体"/>
                <w:i w:val="0"/>
                <w:iCs w:val="0"/>
                <w:color w:val="auto"/>
                <w:sz w:val="21"/>
                <w:szCs w:val="21"/>
                <w:u w:val="none"/>
                <w:lang w:val="en-US" w:eastAsia="zh-CN" w:bidi="ar"/>
              </w:rPr>
              <w:t xml:space="preserve">具有</w:t>
            </w:r>
            <w:r>
              <w:rPr>
                <w:rFonts w:hint="eastAsia" w:ascii="宋体" w:hAnsi="宋体" w:eastAsia="宋体" w:cs="宋体"/>
                <w:i w:val="0"/>
                <w:iCs w:val="0"/>
                <w:color w:val="auto"/>
                <w:sz w:val="21"/>
                <w:szCs w:val="21"/>
                <w:u w:val="none"/>
                <w:lang w:val="en-US" w:eastAsia="zh-CN" w:bidi="ar"/>
              </w:rPr>
              <w:t xml:space="preserve">群体期，具有性生殖期的材料更好。标本为洋红或苏木精与固绿的双重染色，分色适当，细胞界限及核清楚，子群体能显示。作团藻的整体装片，每张玻片内团藻数量不应少于五个，并应具有不同时期的子群体。团藻应基本呈球形，无明显收缩，压碎等情况。团藻为厚装片标本，封盖剂应充分干燥，材料不得在盖玻下移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17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AF1-129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伞蕈切片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#1．标本在100×和400×生物显微镜下，观察伞蕈</w:t>
            </w:r>
            <w:r>
              <w:rPr>
                <w:rFonts w:hint="eastAsia" w:ascii="宋体" w:hAnsi="宋体" w:eastAsia="宋体" w:cs="宋体"/>
                <w:i w:val="0"/>
                <w:iCs w:val="0"/>
                <w:color w:val="auto"/>
                <w:sz w:val="21"/>
                <w:szCs w:val="21"/>
                <w:u w:val="none"/>
                <w:lang w:val="en-US" w:eastAsia="zh-CN" w:bidi="ar"/>
              </w:rPr>
              <w:t xml:space="preserve">菌盖的部分结构。能看清帽状菌盖的横切面，中间有菌柄横切面和菌褶的纵切面，两侧有担子。能认出菌褶（子实层）的结构，认出担子，担子小柄和担孢子。能认出担子顶端的有二或四个担子小柄及小柄顶有一个担孢子的典型结构。标本选用同担子菌亚纲（Homobasidiomycetidae）伞菌目（Agaricales）中任一种伞菌。标本取材不宜过老，菌盖尚未张开，呈帽形状时为佳。标本为帽状菌盖的横切片，其厚度在8μm以内。铁苏木精染色，每张玻片放材料一片。菌柄居中，菌褶、担了和担孢子不收缩。担孢子散落不应过多，材料无破损现象。</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AF1-130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黑根霉装片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#1．能看清黑根霉的营养菌丝、匍匐菌丝、假根、孢子梗、孢子囊的形态结构。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3958"/>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AF1-131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水螅纵切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80x和200x学生显微镜下观察水媳纵断面的结构。能看清外胚层、内胚层、中胚层和消化循环腔，有时可看到部分触手的纵断面。外胚层看到内皮肌细胞,内胚层看到内骨细胞,在400X镜下可见间细胞和刺细胞。基盘部细胞排列整齐，垂唇部细胞较为致密。标本取材为淡水水螅，经固定后仍应保持其伸展状态。做</w:t>
            </w:r>
            <w:r>
              <w:rPr>
                <w:rFonts w:hint="eastAsia" w:ascii="宋体" w:hAnsi="宋体" w:cs="宋体"/>
                <w:i w:val="0"/>
                <w:iCs w:val="0"/>
                <w:color w:val="auto"/>
                <w:sz w:val="21"/>
                <w:szCs w:val="21"/>
                <w:u w:val="none"/>
                <w:lang w:val="en-US" w:eastAsia="zh-CN" w:bidi="ar"/>
              </w:rPr>
              <w:t xml:space="preserve">水螅</w:t>
            </w:r>
            <w:r>
              <w:rPr>
                <w:rFonts w:hint="eastAsia" w:ascii="宋体" w:hAnsi="宋体" w:eastAsia="宋体" w:cs="宋体"/>
                <w:i w:val="0"/>
                <w:iCs w:val="0"/>
                <w:color w:val="auto"/>
                <w:sz w:val="21"/>
                <w:szCs w:val="21"/>
                <w:u w:val="none"/>
                <w:lang w:val="en-US" w:eastAsia="zh-CN" w:bidi="ar"/>
              </w:rPr>
              <w:t xml:space="preserve">整体中部纵切,切片厚度为5-7μm,每张玻片垂直放材料一片。标本为基盘部至口端部的纵断面,基盘必须完整,可以不过口和触手。内、外胚层间应无裂隙，体外不得有附着物。</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AF1-132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蚯蚓横切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#1．标本在80x和200x学生显微镜下观察蚯蚓横断面的</w:t>
            </w:r>
            <w:r>
              <w:rPr>
                <w:rFonts w:hint="eastAsia" w:ascii="宋体" w:hAnsi="宋体" w:eastAsia="宋体" w:cs="宋体"/>
                <w:i w:val="0"/>
                <w:iCs w:val="0"/>
                <w:color w:val="auto"/>
                <w:sz w:val="21"/>
                <w:szCs w:val="21"/>
                <w:u w:val="none"/>
                <w:lang w:val="en-US" w:eastAsia="zh-CN" w:bidi="ar"/>
              </w:rPr>
              <w:t xml:space="preserve">结构。能看清表皮、肌层（环肌、纵肌）、体腔、背血管、腹血管、腹神经索、神经下血管、肠、盲道、不完整的肾管、肠及背血管周围的黄色细胞等。表皮为多种细胞组成，表皮外可见一层角质膜。有时可见到刚毛的纵断切面。环肌层较薄，肌细胞呈纵断面，成柬状的纵肌层较厚，肌细胞呈横断面，纵肌内侧可见体腔膜。标本取材为环毛蚓(异唇蚓等也可使用)。切片厚度为10μm以内。标本的切面应与蝗蚓的纵轴垂直,呈圆或椭圆形.背血管\腹血管、腹神经索、神经下血管应基本位于同一垂直线上。纵肌和肠上皮细胞可有轻微收缩现象和裂隙。表皮无皱褶、无污物。</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35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AF1-133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动物细胞有丝分裂(马蛔虫受精卵切片)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80x和200x学生显微镜下观察蚯蚓横断面的结构。能看清表皮、肌层（环肌、纵肌）、体腔、背血管、腹血管、腹神经索、神经下血管、肠、盲道、不完整的肾管、肠及背血管周围的黄色细胞等。表皮为多种细胞组成，表皮外可见一层角质膜。有时可见到刚毛的纵断切面。环肌层较薄，肌细胞呈纵断面，成柬状的纵肌层较厚，肌细胞呈横断面，纵肌内侧可见体腔膜。标本取材为环毛蚓(异唇蚓等也可使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切片厚度为10μm以内。标本的切面应与蝗蚓的纵轴垂直,呈圆或椭圆形.背血管\腹血管、腹神经索、神经下血管应基本位于同一垂直线上。纵肌和肠上皮细胞可有轻微收缩现象和裂隙。表皮无皱褶、无污物。</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AF1-134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草履虫接合生殖装片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#1．标本在50×和100×生物显微镜下，观察草履虫接合生殖的形态。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能看清两个草履虫纵向平行紧贴在一起。有时隐约可见虫体是以口沟部位相紧贴的，能认出被染成深色的大核，在个别标本上可见纤毛。标本取材为人工培养的处于接合生殖时期的大草履虫（Paramecium Caudatum）。标本为整体装片，每张玻片放材料应不少于三对，并可在50×镜下的同一视野内观察到。标本用洋红或苏木精染色，分色适当，大核明显。草履虫体形正常，无收缩，膨胀及压裂现象。</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35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AF1-135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草履虫分裂生殖装片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#1．标本在50×和100×生物显微镜下，观察草履虫分裂时的形态。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能分别认出：a．未分裂草履虫的形态。b．大核变长，小核分裂为二。c．虫体中部出现缢痕，大核中间变细或断开，小核远离。d．虫体沿中部横裂变细，尚未断开，大核缩短。标本取材为人工培养的处于分裂时期的大草履虫（Paramecium Cauda-tum）。标本为整体装片，每张玻片上应按1.2条的要求，依次排列成一行，并在50×镜下的同一视野内观察到各期的形态。标本用洋红或苏木精染色，分色适当。虫体形态正常，无收缩，膨胀、压碎、断裂等现象。</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536"/>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AF1-136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囊虫装片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#1．标本在50×和100×生物显微镜下，观察囊虫的形态。能看清头节上的四个吸盘和顶突部分的小钩。能认出一部分颈节和囊。标本取材为寄生于猪的链状带绦虫（Taenia Solium）的囊尾蚴。取材应为成熟的囊尾蚴，囊不应过大，头节自囊内翻出。标本为洋红或苏木精染色。分色适中，颈节、头节、吸盘和囊等</w:t>
            </w:r>
            <w:r>
              <w:rPr>
                <w:rFonts w:hint="eastAsia" w:ascii="宋体" w:hAnsi="宋体" w:cs="宋体"/>
                <w:i w:val="0"/>
                <w:iCs w:val="0"/>
                <w:color w:val="auto"/>
                <w:sz w:val="21"/>
                <w:szCs w:val="21"/>
                <w:u w:val="none"/>
                <w:lang w:val="en-US" w:eastAsia="zh-CN" w:bidi="ar"/>
              </w:rPr>
              <w:t xml:space="preserve">分辨</w:t>
            </w:r>
            <w:r>
              <w:rPr>
                <w:rFonts w:hint="eastAsia" w:ascii="宋体" w:hAnsi="宋体" w:eastAsia="宋体" w:cs="宋体"/>
                <w:i w:val="0"/>
                <w:iCs w:val="0"/>
                <w:color w:val="auto"/>
                <w:sz w:val="21"/>
                <w:szCs w:val="21"/>
                <w:u w:val="none"/>
                <w:lang w:val="en-US" w:eastAsia="zh-CN" w:bidi="ar"/>
              </w:rPr>
              <w:t xml:space="preserve">清楚。囊体不破裂，可有小皱褶，头、颈无收缩现象。每张玻片放囊虫一个，头节向上。标本为特厚装片，封盖后的封盖剂必须干固，标本不能有移动现象。</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AF1-137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血吸虫雌雄合抱装片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50×和100×生物显微镜下，观察血吸虫雌雄合抱的形态和结构。应分别认出雌、雄虫的各部主要结构：口吸盘、腹吸盘、精巢和卵巢等。重点观察雌虫在雄虫抱雌沟内的形态。标本选用经人工感染哺乳物后的日本血吸虫（Schistosoma Japonicum）雌雄虫合抱期的材料。标本为洋红或苏木精染色。分色适当，各部结构显示清晰。雌雄虫体形正常，雌体可有部分离开雌沟的现象，体外及口吸盘部位可有轻度污物，虫体可有轻度扭曲现象。每张玻片放雌雄合抱期的虫体一条，口吸盘部向前，体侧面向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AF1-138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血吸虫雄虫装片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 50×和 100×生物显微镜下，观察血吸虫雄虫的形态结构；能看清雄虫体较短粗，一般向腹面弯曲，呈新月形或 C 形；能看清自吸盘以后虫体侧壁向腹面围拢形成的抱雄沟；认出口吸盘、腹吸盘、精巢（一般为七个）；在腹吸盘附近，消化道分成左右两肠支；标本选用经人工感染哺乳动物后的日本血吸虫（SchistosmaJaponicum）雄性成虫；标本用苏木精或洋红染色；精巢应着色明显易于</w:t>
            </w:r>
            <w:r>
              <w:rPr>
                <w:rFonts w:hint="eastAsia" w:ascii="宋体" w:hAnsi="宋体" w:cs="宋体"/>
                <w:i w:val="0"/>
                <w:iCs w:val="0"/>
                <w:color w:val="auto"/>
                <w:sz w:val="21"/>
                <w:szCs w:val="21"/>
                <w:u w:val="none"/>
                <w:lang w:val="en-US" w:eastAsia="zh-CN" w:bidi="ar"/>
              </w:rPr>
              <w:t xml:space="preserve">辨认</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其他</w:t>
            </w:r>
            <w:r>
              <w:rPr>
                <w:rFonts w:hint="eastAsia" w:ascii="宋体" w:hAnsi="宋体" w:eastAsia="宋体" w:cs="宋体"/>
                <w:i w:val="0"/>
                <w:iCs w:val="0"/>
                <w:color w:val="auto"/>
                <w:sz w:val="21"/>
                <w:szCs w:val="21"/>
                <w:u w:val="none"/>
                <w:lang w:val="en-US" w:eastAsia="zh-CN" w:bidi="ar"/>
              </w:rPr>
              <w:t xml:space="preserve">结构为淡兰色或粉红色；虫体形态正常，不扭曲，应呈新月形或 C 形，精巢可有 6～9 个；吸盘部允许有少许粘液附着；每张玻片放雄虫一条，口吸盘向前，侧面向上。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AF1-139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血吸虫雌虫装片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 50×和 100×生物显微镜下，观察血吸虫雌虫的形态和结构；能看清雌虫体细长，后半部较粗；应认出口吸盘、腹吸盘、子宫、卵巢、卵巢腺和卵等；在虫体后部的肠管内，可有黑褐色的色素；标本选用经人工感染哺乳动物后的日本血吸虫（SchistosmaJaponicum）雌性成虫；标本为洋红或苏木精染色，分色适当，各部位结构均显示正常；虫体形态正常，略直，不扭曲，口吸盘处可有少数粘液，体外允许有轻微微物虫卵透明；每张玻片放雌虫一条，口吸盘向前，侧面向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AF1-140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家蚊(雌)口器装片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50×显微镜下观察家蚊（雌）口器的形态结构。能看清家蚊口器的上唇、下唇、下颚须，可见上下颚及舌包在下唇之鞘内。取材于家蚊（雌）的头部。标本为装片，每张玻片放材料一片。至少上唇从下唇鞘中分出，一对下颚须分列两侧，上下颚及舌从下唇鞘中挑出则更好。口器各部不得有破损现象。</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AF1-141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水螅过精巢横切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 100×和 400×生物显微镜下，观察水螅过精巢横切的结构；能看清精巢、外胚层、内胚层、中胶层和消化循环腔；能认出精巢中的精细胞和精子，外胚层中的外皮肌细胞，内胚层中的内皮肌细胞还应看到间细胞和刺细胞；标本取材于经固定后仍保持其自然状态的水螅；标本为过精巢中部的切片，至少看到一个呈乳头状的精巢断面，精巢和胚层之间无裂隙，切片厚度在 7μm 以内，每张玻片放材料 1～2 片；标本用苏木精单一染色，分色适当；横断面完整，内、外胚层间应无裂隙，体内不得有附着物。</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54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AF1-142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水螅过卵巢横切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 100×和 400×生物显微镜下，观察水螅过卵巢横切的结构；能看清卵巢、外胚层、内胚层、中胚层和消化循环腔；应认出卵巢中的一个卵细胞和许多营养细胞，外胚层中的外皮肌细胞，内胚层中的内皮肌细胞。还应看到间细胞和刺细胞；标本取材于经固定后仍保持其自然状态的水螅；标本为过卵细胞的切片，其厚度在 7μm 以内，每张玻片放材料一片；标本为苏木精单一染色，分色适当；卵巢合胚层间无裂隙，体外不得有附着物。</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37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AF1-143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复层扁平上皮装片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#1．标本在80x和200x学生显微镜下观察皮肤过毛囊的结构。能看清表皮、真皮和皮下组织。表皮为复层扁平上皮，近表面的浅层细胞有角化脱落</w:t>
            </w:r>
            <w:r>
              <w:rPr>
                <w:rFonts w:hint="eastAsia" w:ascii="宋体" w:hAnsi="宋体" w:cs="宋体"/>
                <w:i w:val="0"/>
                <w:iCs w:val="0"/>
                <w:color w:val="auto"/>
                <w:sz w:val="21"/>
                <w:szCs w:val="21"/>
                <w:u w:val="none"/>
                <w:lang w:val="en-US" w:eastAsia="zh-CN" w:bidi="ar"/>
              </w:rPr>
              <w:t xml:space="preserve">现象</w:t>
            </w:r>
            <w:r>
              <w:rPr>
                <w:rFonts w:hint="eastAsia" w:ascii="宋体" w:hAnsi="宋体" w:eastAsia="宋体" w:cs="宋体"/>
                <w:i w:val="0"/>
                <w:iCs w:val="0"/>
                <w:color w:val="auto"/>
                <w:sz w:val="21"/>
                <w:szCs w:val="21"/>
                <w:u w:val="none"/>
                <w:lang w:val="en-US" w:eastAsia="zh-CN" w:bidi="ar"/>
              </w:rPr>
              <w:t xml:space="preserve">。在真皮和皮下组</w:t>
            </w:r>
            <w:r>
              <w:rPr>
                <w:rFonts w:hint="eastAsia" w:ascii="宋体" w:hAnsi="宋体" w:eastAsia="宋体" w:cs="宋体"/>
                <w:i w:val="0"/>
                <w:iCs w:val="0"/>
                <w:color w:val="auto"/>
                <w:sz w:val="21"/>
                <w:szCs w:val="21"/>
                <w:u w:val="none"/>
                <w:lang w:val="en-US" w:eastAsia="zh-CN" w:bidi="ar"/>
              </w:rPr>
              <w:t xml:space="preserve">织中，分别看清皮脂腺、立毛肌、毛干、毛根，毛囊、毛球和毛乳头等，在毛发皮质近根处的细胞中含有色素颗粒。标本应在死亡不久的尸体上取材，以成人头皮为最好，婴儿头皮也可使用。标本以毛发的纵断方向切片，切片厚度在15μm以内，每张玻片横放材料一片。标本上应有一根从毛于经毛根至毛乳头的毛发纵断面，或至少有一根自毛乳头向上至皮脂腺开口处的毛发纵断面。毛干和毛根不得移位。组织无病变，毛球和毛乳头处不收缩。如为火棉胶切片则火棉胶应无色、无污物。非主要观察部位可有刀痕一处，或表皮、真皮间有小裂隙，但不得超过材料长度的1／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1364"/>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AF1-144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人皮过毛囊切片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80x和200x学生显微镜下观察皮肤过汗腺的结构。能看清表皮、真皮和皮下组织。在表皮部分应看清角质层、透明层、颗粒层、棘细胞层和基底层以及穿过各层的汗腺导管。在真皮部分除看清真皮乳头、结缔组织纤维、汗腺导管的断面外，在真皮下部和皮下组织中还应看清汗腺分泌部的断面结构。标本应在死亡不久的尸体上取材，以成年人为好，取材部位为手掌或足部。平行于皮嵴切片，切片厚度在20μm以内，每张玻片横放材料一片。材料上最少应有一条与汗腺分泌或汗腺开口连接的汗腺导管，其显示长度不少于汗腺分泌部至表皮的1／3。</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染色对比协调，棘细胞层、基底层和汗腺导管细胞的胞质着深并微呈蓝色，如为火棉胶切片，则火棉胶应无色、无污物。组织无病变，非主要观察部位的刀痕或破损、裂隙不超过一处，且裂隙不得超过材料长度的1／3。</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AF1-145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人皮过汗腺切片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#1、符合人皮过汗腺切片技术条件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565"/>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AF1-146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脊髓横切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80x和200x学生显微镜下观察脊髓横断面的结构。在完整的脊髓横断面上能看清被膜、灰质和白质。在灰质中能看清中央管、神经胶质细胞的胞核、交错的神经纤维断面、前角处的运动神经原等。能看清前正中裂、后正中沟和前、后根的痕迹以及白质中神经纤维的轴索和髓鞘的横断结构。标本取材于哺乳动物的脊髓，取材部位为颈膨大或腰膨大处。切片厚度在8μm以内，被膜应完整。脊髓外形应正常，灰、白质中不得有空腔等病变现象。</w:t>
            </w:r>
            <w:r>
              <w:rPr>
                <w:rFonts w:hint="eastAsia" w:ascii="宋体" w:hAnsi="宋体" w:cs="宋体"/>
                <w:i w:val="0"/>
                <w:iCs w:val="0"/>
                <w:color w:val="auto"/>
                <w:sz w:val="21"/>
                <w:szCs w:val="21"/>
                <w:u w:val="none"/>
                <w:lang w:val="en-US" w:eastAsia="zh-CN" w:bidi="ar"/>
              </w:rPr>
              <w:t xml:space="preserve">运动神经源</w:t>
            </w:r>
            <w:r>
              <w:rPr>
                <w:rFonts w:hint="eastAsia" w:ascii="宋体" w:hAnsi="宋体" w:eastAsia="宋体" w:cs="宋体"/>
                <w:i w:val="0"/>
                <w:iCs w:val="0"/>
                <w:color w:val="auto"/>
                <w:sz w:val="21"/>
                <w:szCs w:val="21"/>
                <w:u w:val="none"/>
                <w:lang w:val="en-US" w:eastAsia="zh-CN" w:bidi="ar"/>
              </w:rPr>
              <w:t xml:space="preserve">和灰质</w:t>
            </w:r>
            <w:r>
              <w:rPr>
                <w:rFonts w:hint="eastAsia" w:ascii="宋体" w:hAnsi="宋体" w:cs="宋体"/>
                <w:i w:val="0"/>
                <w:iCs w:val="0"/>
                <w:color w:val="auto"/>
                <w:sz w:val="21"/>
                <w:szCs w:val="21"/>
                <w:u w:val="none"/>
                <w:lang w:val="en-US" w:eastAsia="zh-CN" w:bidi="ar"/>
              </w:rPr>
              <w:t xml:space="preserve">间</w:t>
            </w:r>
            <w:r>
              <w:rPr>
                <w:rFonts w:hint="eastAsia" w:ascii="宋体" w:hAnsi="宋体" w:eastAsia="宋体" w:cs="宋体"/>
                <w:i w:val="0"/>
                <w:iCs w:val="0"/>
                <w:color w:val="auto"/>
                <w:sz w:val="21"/>
                <w:szCs w:val="21"/>
                <w:u w:val="none"/>
                <w:lang w:val="en-US" w:eastAsia="zh-CN" w:bidi="ar"/>
              </w:rPr>
              <w:t xml:space="preserve">可有轻微裂隙。</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AF1-147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运动神经末梢装片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#1．标本在80×和200×学生显微镜下观察肌纤维和运动神经末梢的形态。能看清被染成蓝紫色或紫红色的肌纤维，有时可见横纹。能看清蓝黑色成束的神经纤维</w:t>
            </w:r>
            <w:r>
              <w:rPr>
                <w:rFonts w:hint="eastAsia" w:ascii="宋体" w:hAnsi="宋体" w:cs="宋体"/>
                <w:i w:val="0"/>
                <w:iCs w:val="0"/>
                <w:color w:val="auto"/>
                <w:sz w:val="21"/>
                <w:szCs w:val="21"/>
                <w:u w:val="none"/>
                <w:lang w:val="en-US" w:eastAsia="zh-CN" w:bidi="ar"/>
              </w:rPr>
              <w:t xml:space="preserve">及其分支</w:t>
            </w:r>
            <w:r>
              <w:rPr>
                <w:rFonts w:hint="eastAsia" w:ascii="宋体" w:hAnsi="宋体" w:eastAsia="宋体" w:cs="宋体"/>
                <w:i w:val="0"/>
                <w:iCs w:val="0"/>
                <w:color w:val="auto"/>
                <w:sz w:val="21"/>
                <w:szCs w:val="21"/>
                <w:u w:val="none"/>
                <w:lang w:val="en-US" w:eastAsia="zh-CN" w:bidi="ar"/>
              </w:rPr>
              <w:t xml:space="preserve">，在肌膜处形成爪状的运动终板（运动神经末梢）。标本取材于小哺乳动物的肋间肌或其他动物的骨骼肌。标本用甲酸、氯化金处理，显示神经纤维和运动神经末梢。应至少能看到一支完整的神经纤维</w:t>
            </w:r>
            <w:r>
              <w:rPr>
                <w:rFonts w:hint="eastAsia" w:ascii="宋体" w:hAnsi="宋体" w:cs="宋体"/>
                <w:i w:val="0"/>
                <w:iCs w:val="0"/>
                <w:color w:val="auto"/>
                <w:sz w:val="21"/>
                <w:szCs w:val="21"/>
                <w:u w:val="none"/>
                <w:lang w:val="en-US" w:eastAsia="zh-CN" w:bidi="ar"/>
              </w:rPr>
              <w:t xml:space="preserve">及其分支</w:t>
            </w:r>
            <w:r>
              <w:rPr>
                <w:rFonts w:hint="eastAsia" w:ascii="宋体" w:hAnsi="宋体" w:eastAsia="宋体" w:cs="宋体"/>
                <w:i w:val="0"/>
                <w:iCs w:val="0"/>
                <w:color w:val="auto"/>
                <w:sz w:val="21"/>
                <w:szCs w:val="21"/>
                <w:u w:val="none"/>
                <w:lang w:val="en-US" w:eastAsia="zh-CN" w:bidi="ar"/>
              </w:rPr>
              <w:t xml:space="preserve">伸向肌纤维形成运动终板。肌纤维应无缠绕和压碎现象，并不得与运动终板脱离。</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AF1-148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胃壁切片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#1．标本在400x生物显微镜下观察胃壁的结构。能看清粘膜</w:t>
            </w:r>
            <w:r>
              <w:rPr>
                <w:rFonts w:hint="eastAsia" w:ascii="宋体" w:hAnsi="宋体" w:cs="宋体"/>
                <w:i w:val="0"/>
                <w:iCs w:val="0"/>
                <w:color w:val="auto"/>
                <w:sz w:val="21"/>
                <w:szCs w:val="21"/>
                <w:u w:val="none"/>
                <w:lang w:val="en-US" w:eastAsia="zh-CN" w:bidi="ar"/>
              </w:rPr>
              <w:t xml:space="preserve">皱褶</w:t>
            </w:r>
            <w:r>
              <w:rPr>
                <w:rFonts w:hint="eastAsia" w:ascii="宋体" w:hAnsi="宋体" w:eastAsia="宋体" w:cs="宋体"/>
                <w:i w:val="0"/>
                <w:iCs w:val="0"/>
                <w:color w:val="auto"/>
                <w:sz w:val="21"/>
                <w:szCs w:val="21"/>
                <w:u w:val="none"/>
                <w:lang w:val="en-US" w:eastAsia="zh-CN" w:bidi="ar"/>
              </w:rPr>
              <w:t xml:space="preserve">、粘膜、粘膜肌层、粘膜下层、肌层、浆膜、胃小凹和胃底腺等。能看清粘膜的上皮为单层柱状上皮、胃底腺中的壁细胞和主细胞。粘膜下层能看清结缔组织、血管、淋巴管和神经的断面。标本取材于小哺乳动物的胃，取材部位为胃体。切片厚度在8μm以内，材料长度不小于5mm，每张玻片横放材料一片。粘膜外不得附着粘液或未消化的食物，上皮细胞不得有自溶现象，其他组织无炎症及病变。染色对比协调，主细胞、壁细胞区分明显，粘膜与粘膜下层之间不脱离，粘膜下层无破裂现象。</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AF1-149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肾脏纵切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#1、符合肾脏纵切技术条件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AF1-150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肺血管注射切片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#1．标本在50×和100×生物显微镜下，观察肺血管分布形态。能看清由肺动脉形成的包绕肺泡外的毛细血管网。可</w:t>
            </w:r>
            <w:r>
              <w:rPr>
                <w:rFonts w:hint="eastAsia" w:ascii="宋体" w:hAnsi="宋体" w:cs="宋体"/>
                <w:i w:val="0"/>
                <w:iCs w:val="0"/>
                <w:color w:val="auto"/>
                <w:sz w:val="21"/>
                <w:szCs w:val="21"/>
                <w:u w:val="none"/>
                <w:lang w:val="en-US" w:eastAsia="zh-CN" w:bidi="ar"/>
              </w:rPr>
              <w:t xml:space="preserve">辨认出</w:t>
            </w:r>
            <w:r>
              <w:rPr>
                <w:rFonts w:hint="eastAsia" w:ascii="宋体" w:hAnsi="宋体" w:eastAsia="宋体" w:cs="宋体"/>
                <w:i w:val="0"/>
                <w:iCs w:val="0"/>
                <w:color w:val="auto"/>
                <w:sz w:val="21"/>
                <w:szCs w:val="21"/>
                <w:u w:val="none"/>
                <w:lang w:val="en-US" w:eastAsia="zh-CN" w:bidi="ar"/>
              </w:rPr>
              <w:t xml:space="preserve">肺动脉，支气管动脉和各级支气管的断面结构，但不作重点观察。标本取材于小哺乳动物的肺。标本用洋红胶液作血管注射，胶液色泽鲜艳，无颜色沉淀，不浸染</w:t>
            </w:r>
            <w:r>
              <w:rPr>
                <w:rFonts w:hint="eastAsia" w:ascii="宋体" w:hAnsi="宋体" w:cs="宋体"/>
                <w:i w:val="0"/>
                <w:iCs w:val="0"/>
                <w:color w:val="auto"/>
                <w:sz w:val="21"/>
                <w:szCs w:val="21"/>
                <w:u w:val="none"/>
                <w:lang w:val="en-US" w:eastAsia="zh-CN" w:bidi="ar"/>
              </w:rPr>
              <w:t xml:space="preserve">其他组织</w:t>
            </w:r>
            <w:r>
              <w:rPr>
                <w:rFonts w:hint="eastAsia" w:ascii="宋体" w:hAnsi="宋体" w:eastAsia="宋体" w:cs="宋体"/>
                <w:i w:val="0"/>
                <w:iCs w:val="0"/>
                <w:color w:val="auto"/>
                <w:sz w:val="21"/>
                <w:szCs w:val="21"/>
                <w:u w:val="none"/>
                <w:lang w:val="en-US" w:eastAsia="zh-CN" w:bidi="ar"/>
              </w:rPr>
              <w:t xml:space="preserve">。色胶注射适中，肺泡外毛细血管不可注射过于饱满，血管形态正常，无收缩现象，80%以上的血管应注射充分。作肺叶一部分的断面切片，材料二边应具浆膜，切片厚度视注射情况在20～80μm。每张玻片放材料一片。标本用苏木精复染细胞核。</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AF1-151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肾血管注射切片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highlight w:val="green"/>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#1、应符合JY</w:t>
            </w:r>
            <w:r>
              <w:rPr>
                <w:rFonts w:hint="eastAsia" w:ascii="宋体" w:hAnsi="宋体" w:cs="宋体"/>
                <w:i w:val="0"/>
                <w:iCs w:val="0"/>
                <w:color w:val="auto"/>
                <w:sz w:val="21"/>
                <w:szCs w:val="21"/>
                <w:highlight w:val="none"/>
                <w:u w:val="none"/>
                <w:lang w:val="en-US" w:eastAsia="zh-CN" w:bidi="ar"/>
              </w:rPr>
              <w:t xml:space="preserve">/T 00</w:t>
            </w:r>
            <w:r>
              <w:rPr>
                <w:rFonts w:hint="eastAsia" w:ascii="宋体" w:hAnsi="宋体" w:eastAsia="宋体" w:cs="宋体"/>
                <w:i w:val="0"/>
                <w:iCs w:val="0"/>
                <w:color w:val="auto"/>
                <w:sz w:val="21"/>
                <w:szCs w:val="21"/>
                <w:highlight w:val="none"/>
                <w:u w:val="none"/>
                <w:lang w:val="en-US" w:eastAsia="zh-CN" w:bidi="ar"/>
              </w:rPr>
              <w:t xml:space="preserve">67</w:t>
            </w:r>
            <w:r>
              <w:rPr>
                <w:rFonts w:hint="eastAsia" w:ascii="宋体" w:hAnsi="宋体" w:cs="宋体"/>
                <w:i w:val="0"/>
                <w:iCs w:val="0"/>
                <w:color w:val="auto"/>
                <w:sz w:val="21"/>
                <w:szCs w:val="21"/>
                <w:highlight w:val="none"/>
                <w:u w:val="none"/>
                <w:lang w:val="en-US" w:eastAsia="zh-CN" w:bidi="ar"/>
              </w:rPr>
              <w:t xml:space="preserve">-2011</w:t>
            </w:r>
            <w:r>
              <w:rPr>
                <w:rFonts w:hint="eastAsia" w:ascii="宋体" w:hAnsi="宋体" w:eastAsia="宋体" w:cs="宋体"/>
                <w:i w:val="0"/>
                <w:iCs w:val="0"/>
                <w:color w:val="auto"/>
                <w:sz w:val="21"/>
                <w:szCs w:val="21"/>
                <w:highlight w:val="none"/>
                <w:u w:val="none"/>
                <w:lang w:val="en-US" w:eastAsia="zh-CN" w:bidi="ar"/>
              </w:rPr>
              <w:t xml:space="preserve">《生物玻片标本通用</w:t>
            </w:r>
            <w:r>
              <w:rPr>
                <w:rFonts w:hint="eastAsia" w:ascii="宋体" w:hAnsi="宋体" w:cs="宋体"/>
                <w:i w:val="0"/>
                <w:iCs w:val="0"/>
                <w:color w:val="auto"/>
                <w:sz w:val="21"/>
                <w:szCs w:val="21"/>
                <w:highlight w:val="none"/>
                <w:u w:val="none"/>
                <w:lang w:val="en-US" w:eastAsia="zh-CN" w:bidi="ar"/>
              </w:rPr>
              <w:t xml:space="preserve">要求</w:t>
            </w:r>
            <w:r>
              <w:rPr>
                <w:rFonts w:hint="eastAsia" w:ascii="宋体" w:hAnsi="宋体" w:eastAsia="宋体" w:cs="宋体"/>
                <w:i w:val="0"/>
                <w:iCs w:val="0"/>
                <w:color w:val="auto"/>
                <w:sz w:val="21"/>
                <w:szCs w:val="21"/>
                <w:highlight w:val="none"/>
                <w:u w:val="none"/>
                <w:lang w:val="en-US" w:eastAsia="zh-CN" w:bidi="ar"/>
              </w:rPr>
              <w:t xml:space="preserve">》的规定。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AF1-152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精巢切片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highlight w:val="green"/>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#1、应符合JY</w:t>
            </w:r>
            <w:r>
              <w:rPr>
                <w:rFonts w:hint="eastAsia" w:ascii="宋体" w:hAnsi="宋体" w:cs="宋体"/>
                <w:i w:val="0"/>
                <w:iCs w:val="0"/>
                <w:color w:val="auto"/>
                <w:sz w:val="21"/>
                <w:szCs w:val="21"/>
                <w:highlight w:val="none"/>
                <w:u w:val="none"/>
                <w:lang w:val="en-US" w:eastAsia="zh-CN" w:bidi="ar"/>
              </w:rPr>
              <w:t xml:space="preserve">/T 00</w:t>
            </w:r>
            <w:r>
              <w:rPr>
                <w:rFonts w:hint="eastAsia" w:ascii="宋体" w:hAnsi="宋体" w:eastAsia="宋体" w:cs="宋体"/>
                <w:i w:val="0"/>
                <w:iCs w:val="0"/>
                <w:color w:val="auto"/>
                <w:sz w:val="21"/>
                <w:szCs w:val="21"/>
                <w:highlight w:val="none"/>
                <w:u w:val="none"/>
                <w:lang w:val="en-US" w:eastAsia="zh-CN" w:bidi="ar"/>
              </w:rPr>
              <w:t xml:space="preserve">67</w:t>
            </w:r>
            <w:r>
              <w:rPr>
                <w:rFonts w:hint="eastAsia" w:ascii="宋体" w:hAnsi="宋体" w:cs="宋体"/>
                <w:i w:val="0"/>
                <w:iCs w:val="0"/>
                <w:color w:val="auto"/>
                <w:sz w:val="21"/>
                <w:szCs w:val="21"/>
                <w:highlight w:val="none"/>
                <w:u w:val="none"/>
                <w:lang w:val="en-US" w:eastAsia="zh-CN" w:bidi="ar"/>
              </w:rPr>
              <w:t xml:space="preserve">-2011</w:t>
            </w:r>
            <w:r>
              <w:rPr>
                <w:rFonts w:hint="eastAsia" w:ascii="宋体" w:hAnsi="宋体" w:eastAsia="宋体" w:cs="宋体"/>
                <w:i w:val="0"/>
                <w:iCs w:val="0"/>
                <w:color w:val="auto"/>
                <w:sz w:val="21"/>
                <w:szCs w:val="21"/>
                <w:highlight w:val="none"/>
                <w:u w:val="none"/>
                <w:lang w:val="en-US" w:eastAsia="zh-CN" w:bidi="ar"/>
              </w:rPr>
              <w:t xml:space="preserve">《生物玻片标本通用</w:t>
            </w:r>
            <w:r>
              <w:rPr>
                <w:rFonts w:hint="eastAsia" w:ascii="宋体" w:hAnsi="宋体" w:cs="宋体"/>
                <w:i w:val="0"/>
                <w:iCs w:val="0"/>
                <w:color w:val="auto"/>
                <w:sz w:val="21"/>
                <w:szCs w:val="21"/>
                <w:highlight w:val="none"/>
                <w:u w:val="none"/>
                <w:lang w:val="en-US" w:eastAsia="zh-CN" w:bidi="ar"/>
              </w:rPr>
              <w:t xml:space="preserve">要求</w:t>
            </w:r>
            <w:r>
              <w:rPr>
                <w:rFonts w:hint="eastAsia" w:ascii="宋体" w:hAnsi="宋体" w:eastAsia="宋体" w:cs="宋体"/>
                <w:i w:val="0"/>
                <w:iCs w:val="0"/>
                <w:color w:val="auto"/>
                <w:sz w:val="21"/>
                <w:szCs w:val="21"/>
                <w:highlight w:val="none"/>
                <w:u w:val="none"/>
                <w:lang w:val="en-US" w:eastAsia="zh-CN" w:bidi="ar"/>
              </w:rPr>
              <w:t xml:space="preserve">》的规定。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AF1-153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卵巢切片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highlight w:val="green"/>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#1、应符合JY</w:t>
            </w:r>
            <w:r>
              <w:rPr>
                <w:rFonts w:hint="eastAsia" w:ascii="宋体" w:hAnsi="宋体" w:cs="宋体"/>
                <w:i w:val="0"/>
                <w:iCs w:val="0"/>
                <w:color w:val="auto"/>
                <w:sz w:val="21"/>
                <w:szCs w:val="21"/>
                <w:highlight w:val="none"/>
                <w:u w:val="none"/>
                <w:lang w:val="en-US" w:eastAsia="zh-CN" w:bidi="ar"/>
              </w:rPr>
              <w:t xml:space="preserve">/T 00</w:t>
            </w:r>
            <w:r>
              <w:rPr>
                <w:rFonts w:hint="eastAsia" w:ascii="宋体" w:hAnsi="宋体" w:eastAsia="宋体" w:cs="宋体"/>
                <w:i w:val="0"/>
                <w:iCs w:val="0"/>
                <w:color w:val="auto"/>
                <w:sz w:val="21"/>
                <w:szCs w:val="21"/>
                <w:highlight w:val="none"/>
                <w:u w:val="none"/>
                <w:lang w:val="en-US" w:eastAsia="zh-CN" w:bidi="ar"/>
              </w:rPr>
              <w:t xml:space="preserve">67</w:t>
            </w:r>
            <w:r>
              <w:rPr>
                <w:rFonts w:hint="eastAsia" w:ascii="宋体" w:hAnsi="宋体" w:cs="宋体"/>
                <w:i w:val="0"/>
                <w:iCs w:val="0"/>
                <w:color w:val="auto"/>
                <w:sz w:val="21"/>
                <w:szCs w:val="21"/>
                <w:highlight w:val="none"/>
                <w:u w:val="none"/>
                <w:lang w:val="en-US" w:eastAsia="zh-CN" w:bidi="ar"/>
              </w:rPr>
              <w:t xml:space="preserve">-2011</w:t>
            </w:r>
            <w:r>
              <w:rPr>
                <w:rFonts w:hint="eastAsia" w:ascii="宋体" w:hAnsi="宋体" w:eastAsia="宋体" w:cs="宋体"/>
                <w:i w:val="0"/>
                <w:iCs w:val="0"/>
                <w:color w:val="auto"/>
                <w:sz w:val="21"/>
                <w:szCs w:val="21"/>
                <w:highlight w:val="none"/>
                <w:u w:val="none"/>
                <w:lang w:val="en-US" w:eastAsia="zh-CN" w:bidi="ar"/>
              </w:rPr>
              <w:t xml:space="preserve">《生物玻片标本通用</w:t>
            </w:r>
            <w:r>
              <w:rPr>
                <w:rFonts w:hint="eastAsia" w:ascii="宋体" w:hAnsi="宋体" w:cs="宋体"/>
                <w:i w:val="0"/>
                <w:iCs w:val="0"/>
                <w:color w:val="auto"/>
                <w:sz w:val="21"/>
                <w:szCs w:val="21"/>
                <w:highlight w:val="none"/>
                <w:u w:val="none"/>
                <w:lang w:val="en-US" w:eastAsia="zh-CN" w:bidi="ar"/>
              </w:rPr>
              <w:t xml:space="preserve">要求</w:t>
            </w:r>
            <w:r>
              <w:rPr>
                <w:rFonts w:hint="eastAsia" w:ascii="宋体" w:hAnsi="宋体" w:eastAsia="宋体" w:cs="宋体"/>
                <w:i w:val="0"/>
                <w:iCs w:val="0"/>
                <w:color w:val="auto"/>
                <w:sz w:val="21"/>
                <w:szCs w:val="21"/>
                <w:highlight w:val="none"/>
                <w:u w:val="none"/>
                <w:lang w:val="en-US" w:eastAsia="zh-CN" w:bidi="ar"/>
              </w:rPr>
              <w:t xml:space="preserve">》的规定。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AF1-154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精虫涂片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highlight w:val="green"/>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#1、应符合JY</w:t>
            </w:r>
            <w:r>
              <w:rPr>
                <w:rFonts w:hint="eastAsia" w:ascii="宋体" w:hAnsi="宋体" w:cs="宋体"/>
                <w:i w:val="0"/>
                <w:iCs w:val="0"/>
                <w:color w:val="auto"/>
                <w:sz w:val="21"/>
                <w:szCs w:val="21"/>
                <w:highlight w:val="none"/>
                <w:u w:val="none"/>
                <w:lang w:val="en-US" w:eastAsia="zh-CN" w:bidi="ar"/>
              </w:rPr>
              <w:t xml:space="preserve">/T 00</w:t>
            </w:r>
            <w:r>
              <w:rPr>
                <w:rFonts w:hint="eastAsia" w:ascii="宋体" w:hAnsi="宋体" w:eastAsia="宋体" w:cs="宋体"/>
                <w:i w:val="0"/>
                <w:iCs w:val="0"/>
                <w:color w:val="auto"/>
                <w:sz w:val="21"/>
                <w:szCs w:val="21"/>
                <w:highlight w:val="none"/>
                <w:u w:val="none"/>
                <w:lang w:val="en-US" w:eastAsia="zh-CN" w:bidi="ar"/>
              </w:rPr>
              <w:t xml:space="preserve">67</w:t>
            </w:r>
            <w:r>
              <w:rPr>
                <w:rFonts w:hint="eastAsia" w:ascii="宋体" w:hAnsi="宋体" w:cs="宋体"/>
                <w:i w:val="0"/>
                <w:iCs w:val="0"/>
                <w:color w:val="auto"/>
                <w:sz w:val="21"/>
                <w:szCs w:val="21"/>
                <w:highlight w:val="none"/>
                <w:u w:val="none"/>
                <w:lang w:val="en-US" w:eastAsia="zh-CN" w:bidi="ar"/>
              </w:rPr>
              <w:t xml:space="preserve">-2011</w:t>
            </w:r>
            <w:r>
              <w:rPr>
                <w:rFonts w:hint="eastAsia" w:ascii="宋体" w:hAnsi="宋体" w:eastAsia="宋体" w:cs="宋体"/>
                <w:i w:val="0"/>
                <w:iCs w:val="0"/>
                <w:color w:val="auto"/>
                <w:sz w:val="21"/>
                <w:szCs w:val="21"/>
                <w:highlight w:val="none"/>
                <w:u w:val="none"/>
                <w:lang w:val="en-US" w:eastAsia="zh-CN" w:bidi="ar"/>
              </w:rPr>
              <w:t xml:space="preserve">《生物玻片标本通用</w:t>
            </w:r>
            <w:r>
              <w:rPr>
                <w:rFonts w:hint="eastAsia" w:ascii="宋体" w:hAnsi="宋体" w:cs="宋体"/>
                <w:i w:val="0"/>
                <w:iCs w:val="0"/>
                <w:color w:val="auto"/>
                <w:sz w:val="21"/>
                <w:szCs w:val="21"/>
                <w:highlight w:val="none"/>
                <w:u w:val="none"/>
                <w:lang w:val="en-US" w:eastAsia="zh-CN" w:bidi="ar"/>
              </w:rPr>
              <w:t xml:space="preserve">要求</w:t>
            </w:r>
            <w:r>
              <w:rPr>
                <w:rFonts w:hint="eastAsia" w:ascii="宋体" w:hAnsi="宋体" w:eastAsia="宋体" w:cs="宋体"/>
                <w:i w:val="0"/>
                <w:iCs w:val="0"/>
                <w:color w:val="auto"/>
                <w:sz w:val="21"/>
                <w:szCs w:val="21"/>
                <w:highlight w:val="none"/>
                <w:u w:val="none"/>
                <w:lang w:val="en-US" w:eastAsia="zh-CN" w:bidi="ar"/>
              </w:rPr>
              <w:t xml:space="preserve">》的规定。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2011"/>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AF1-155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口腔上皮细胞装片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100×和400×生物显微镜下，观察口腔上皮装片结构。应能认出细胞膜、细胞质、细胞核的结构。标本取材于人口腔内两侧粘膜上皮。标本为平铺在玻片上的扁平细胞。细胞形态正常，近圆形或椭圆形。苏木精与曙红双重染色，对比协调。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29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AF1-156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蛔虫卵装片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100x和400x生物显微镜下观察动物细胞有丝分裂的各期形态。能看清细胞分裂过程中的三个时期：前期、中期和后期或中期、后期和末期。能看清分裂前的细胞核和分裂各期的中心体（中期和后期显著）、染色体以及卵壳、</w:t>
            </w:r>
            <w:r>
              <w:rPr>
                <w:rFonts w:hint="eastAsia" w:ascii="宋体" w:hAnsi="宋体" w:cs="宋体"/>
                <w:i w:val="0"/>
                <w:iCs w:val="0"/>
                <w:color w:val="auto"/>
                <w:sz w:val="21"/>
                <w:szCs w:val="21"/>
                <w:u w:val="none"/>
                <w:lang w:val="en-US" w:eastAsia="zh-CN" w:bidi="ar"/>
              </w:rPr>
              <w:t xml:space="preserve">子宫</w:t>
            </w:r>
            <w:r>
              <w:rPr>
                <w:rFonts w:hint="eastAsia" w:ascii="宋体" w:hAnsi="宋体" w:eastAsia="宋体" w:cs="宋体"/>
                <w:i w:val="0"/>
                <w:iCs w:val="0"/>
                <w:color w:val="auto"/>
                <w:sz w:val="21"/>
                <w:szCs w:val="21"/>
                <w:u w:val="none"/>
                <w:lang w:val="en-US" w:eastAsia="zh-CN" w:bidi="ar"/>
              </w:rPr>
              <w:t xml:space="preserve">壁等，纺锤体隐约可见。标本得材于马蛔虫子宫，作子宫的纵切片，材料长度不小于10mm，每张玻片板放材料一片；也可作子宫的横切片，每张玻片放不同部位的横切片2～4片，以保证观察到细胞分裂的各个时期。切片厚度为6～8μm。卵和卵壳基本呈圆形，子宫内卵应饱满，卵不得脱出卵壳外，胞核、染色体、中心体着色明显，</w:t>
            </w:r>
            <w:r>
              <w:rPr>
                <w:rFonts w:hint="eastAsia" w:ascii="宋体" w:hAnsi="宋体" w:cs="宋体"/>
                <w:i w:val="0"/>
                <w:iCs w:val="0"/>
                <w:color w:val="auto"/>
                <w:sz w:val="21"/>
                <w:szCs w:val="21"/>
                <w:u w:val="none"/>
                <w:lang w:val="en-US" w:eastAsia="zh-CN" w:bidi="ar"/>
              </w:rPr>
              <w:t xml:space="preserve">子宫</w:t>
            </w:r>
            <w:r>
              <w:rPr>
                <w:rFonts w:hint="eastAsia" w:ascii="宋体" w:hAnsi="宋体" w:eastAsia="宋体" w:cs="宋体"/>
                <w:i w:val="0"/>
                <w:iCs w:val="0"/>
                <w:color w:val="auto"/>
                <w:sz w:val="21"/>
                <w:szCs w:val="21"/>
                <w:u w:val="none"/>
                <w:lang w:val="en-US" w:eastAsia="zh-CN" w:bidi="ar"/>
              </w:rPr>
              <w:t xml:space="preserve">壁完整。</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AF1-157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生物体的结构层次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#1、幅数7幅，对开开本,纸张规格不低于128g铜版纸，印刷符合GB/T 7705-2008  《平版装潢印刷品》的要求。符合新课标教学的要求。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AF1-158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生物与环境</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#1、幅数2幅，对开开本,纸张规格不低于128g铜版纸，印刷符合GB/T 7705-2008  《平版装潢印刷品》的要求。符合新课标教学的要求。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AF1-159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生物圈中的绿色植物</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#1、幅数9幅，对开开本,纸张规格不低于128g铜版纸，印刷符合GB/T 7705-2008  《平版装潢印刷品》的要求。符合新课标教学的要求。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AF1-160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生物圈中的人</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#1、幅数17幅，对开开本,纸张规格不低于128g铜版纸，印刷符合GB/T 7705-2008  《平版装潢印刷品》的要求。符合新课标教学的要求。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AF1-161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动物的运动和行为</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#1、幅数5幅，对开开本,纸张规格不低于128g铜版纸，印刷符合GB/T 7705-2008  《平版装潢印刷品》的要求。符合新课标教学的要求。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AF1-162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生物的生殖、发育和遗传</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#1、幅数8幅，对开开本,纸张规格不低于128g铜版纸，印刷符合GB/T 7705-2008  《平版装潢印刷品》的要求。符合新课标教学的要求。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AF1-163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生物多样性</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#1、幅数11幅，对开开本,纸张规格不低于128g铜版纸，印刷符合GB/T 7705-2008 《平版装潢印刷品》的要求。符合新课标教学的要求。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AF1-164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生物技术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#1、幅数2幅，对开开本,纸张规格不低于128g铜版纸，印刷符合GB/T 7705-2008  《平版装潢印刷品》的要求。符合新课标教学的要求。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AF1-165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健康地生活</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#1、幅数9幅，对开开本,纸张规格不低于128g铜版纸，印刷符合GB/T 7705-2008  《平版装潢印刷品》的要求。符合新课标教学的要求。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AF1-166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青春期教育挂图</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#1、幅数20幅，对开开本,纸张规格不低于128g铜版纸，印刷符合GB/T 7705-2058  《平版装潢印刷品》的要求。符合新课标教学的要求。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AF1-167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中学生物显微图谱</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#1、16开，图形：逼真，封面覆膜，铜版纸彩色胶印,符合GB/T 7705-2008  《平版装潢印刷品》的要求。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本</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AF1-168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生物教学投影片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#1、投影片、幻灯片</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AF1-169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生物教学DVD(VCD)光盘</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#1、多媒体软件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AF1-170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生物教学CD-ROM多媒体软件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#1、多媒体软件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AF1-171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生物教学图库</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#1、多媒体软件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AF1-172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生物教学数据库</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#1、多媒体软件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AF1-173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初中生物实验教学指导书</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#1、符合新课标要求。 要求：开本16开,符合GB/T 7705-2008  《平版装潢印刷品》。</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AF1-174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初中生物实验仪器手册</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#1、符合新课标要求。 要求：开本16开,符合GB/T 7705-2008  《平版装潢印刷品》。</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AF1-175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干燥器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#1、160mm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AF1-176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玻璃弯管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eastAsia="宋体" w:cs="宋体"/>
                <w:i w:val="0"/>
                <w:iCs w:val="0"/>
                <w:strike w:val="0"/>
                <w:color w:val="auto"/>
                <w:sz w:val="21"/>
                <w:szCs w:val="21"/>
                <w:u w:val="none"/>
                <w:lang w:val="en-US" w:eastAsia="zh-CN" w:bidi="ar"/>
              </w:rPr>
              <w:t xml:space="preserve">弯管表面不得有气泡、裂纹、疤痕、褶皱</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AF1-177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玻璃钟罩</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#1、φ150mm×280mm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AF1-178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测电笔</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#1、全长不小于145mm，测量范围小于500VAC，刀杆材料选用优质CR-V钢，全硬热处理，达到CE标准。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AF1-179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#1、磁性，一字槽,总长度158mm，主体为金属制品，长度为97mm，手柄为胶质，总长度61mm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AF1-180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#1、磁性,十字槽,长度158mm，主体为金属制品，长度为97mm，手柄为胶质，总长度61mm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AF1-181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钢手锯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#1、带锯条锯弓12寸,ABS柄,方管锯,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把</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AF1-182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剥线钳</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#1、材质：高碳钢，长度不小于170mm,压接范围：0.5、1、1.5、2.5、4平方毫米，其他符合QB/T 2207-</w:t>
            </w:r>
            <w:r>
              <w:rPr>
                <w:rFonts w:hint="eastAsia" w:ascii="宋体" w:hAnsi="宋体" w:cs="宋体"/>
                <w:i w:val="0"/>
                <w:iCs w:val="0"/>
                <w:color w:val="auto"/>
                <w:sz w:val="21"/>
                <w:szCs w:val="21"/>
                <w:u w:val="none"/>
                <w:lang w:val="en-US" w:eastAsia="zh-CN" w:bidi="ar"/>
              </w:rPr>
              <w:t xml:space="preserve">2017</w:t>
            </w:r>
            <w:r>
              <w:rPr>
                <w:rFonts w:hint="eastAsia" w:ascii="宋体" w:hAnsi="宋体" w:eastAsia="宋体" w:cs="宋体"/>
                <w:i w:val="0"/>
                <w:iCs w:val="0"/>
                <w:color w:val="auto"/>
                <w:sz w:val="21"/>
                <w:szCs w:val="21"/>
                <w:u w:val="none"/>
                <w:lang w:val="en-US" w:eastAsia="zh-CN" w:bidi="ar"/>
              </w:rPr>
              <w:t xml:space="preserve">《剥线钳》标准。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把</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AF1-183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钢丝钳</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#1、材质：45#高碳钢锻造，规格：40mm*81mm，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把</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AF1-184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手锤</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#1、全长280mm,直径∅25mm,木质手柄。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把</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AF1-185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活扳手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#1、材质：中碳钢，规格：8寸活动扳手，其他符合GB/T 4440-</w:t>
            </w:r>
            <w:r>
              <w:rPr>
                <w:rFonts w:hint="eastAsia" w:ascii="宋体" w:hAnsi="宋体" w:cs="宋体"/>
                <w:i w:val="0"/>
                <w:iCs w:val="0"/>
                <w:color w:val="auto"/>
                <w:sz w:val="21"/>
                <w:szCs w:val="21"/>
                <w:u w:val="none"/>
                <w:lang w:val="en-US" w:eastAsia="zh-CN" w:bidi="ar"/>
              </w:rPr>
              <w:t xml:space="preserve">2022</w:t>
            </w:r>
            <w:r>
              <w:rPr>
                <w:rFonts w:hint="eastAsia" w:ascii="宋体" w:hAnsi="宋体" w:eastAsia="宋体" w:cs="宋体"/>
                <w:i w:val="0"/>
                <w:iCs w:val="0"/>
                <w:color w:val="auto"/>
                <w:sz w:val="21"/>
                <w:szCs w:val="21"/>
                <w:u w:val="none"/>
                <w:lang w:val="en-US" w:eastAsia="zh-CN" w:bidi="ar"/>
              </w:rPr>
              <w:t xml:space="preserve"> 《活扳手》的要求。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把</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AF1-186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砂轮片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#1、断玻璃管用,直径20MM以上</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3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学生分组实验仪器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AF2-01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生物显微镜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#1．产品由镜座、镜臂、镜筒、准焦螺旋、物镜转换器、载物台、反光镜、目镜、物镜等组成；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#2．除调焦手轮和镜片外，整体采用金属材料制造；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#3．放大倍率：500×或 640×；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#4．消色差物镜：10×、40×、4×；</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#5．单目 45°，斜筒，可 360°旋转；</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#6．惠更斯目镜：12．5 或 16×，广角：10×；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#7．反光镜一面为平面，一面为凹面；反光镜直径为 50mm；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#8．粗动调焦范围为 23mm，微动调焦范围 1．8-2．2mm；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#9．移动尺：纵向调节范围：≥25mm，横向调节范围：≥50mm；游标读数精度：0．1mm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AF2-02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生物显微镜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#1、目镜：大视野广角WF16X13mm；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#2、物镜：4X、10X、40X（弹簧）；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#3、镜筒：单目观察筒，45度倾斜，360度旋转；</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#4、转换器：三孔转换器，保证齐焦，转换器稳定性≤0.025mm；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#5、载物台：金属平台，平台面积110X120mm；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#6、聚光镜：单片聚光镜，数值孔径N.A0.65；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#7、光源：LED高亮度光源，带充电功能，亮度可调，可与反光镜互换。</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467"/>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AF2-03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双目立体显微镜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 总高度不小于40cm。材料要求:底座、镜臂、齿条、物镜和目镜镜筒均为金属制。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 总放大倍数：20-40倍。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 目镜:WF10X。</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 物镜：变倍筒物镜:2X-4X分档变倍物镜组。</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 调焦范围: 40mm。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 行程范围:90mm。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#7.照明：自然光。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#8.符合GB/T2985-</w:t>
            </w:r>
            <w:r>
              <w:rPr>
                <w:rFonts w:hint="eastAsia" w:ascii="宋体" w:hAnsi="宋体" w:cs="宋体"/>
                <w:i w:val="0"/>
                <w:iCs w:val="0"/>
                <w:color w:val="auto"/>
                <w:sz w:val="21"/>
                <w:szCs w:val="21"/>
                <w:u w:val="none"/>
                <w:lang w:val="en-US" w:eastAsia="zh-CN" w:bidi="ar"/>
              </w:rPr>
              <w:t xml:space="preserve">2008</w:t>
            </w:r>
            <w:r>
              <w:rPr>
                <w:rFonts w:hint="eastAsia" w:ascii="宋体" w:hAnsi="宋体" w:eastAsia="宋体" w:cs="宋体"/>
                <w:i w:val="0"/>
                <w:iCs w:val="0"/>
                <w:color w:val="auto"/>
                <w:sz w:val="21"/>
                <w:szCs w:val="21"/>
                <w:u w:val="none"/>
                <w:lang w:val="en-US" w:eastAsia="zh-CN" w:bidi="ar"/>
              </w:rPr>
              <w:t xml:space="preserve">《生物显微镜》。木箱包装。</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AF2-04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#1、3倍,通光孔48mm,手柄长56mm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AF2-05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望远镜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#1、双筒，目镜口径30mm，物镜口径50mm。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AF2-06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移液器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#1、0.5mL～5mL，快速可调</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AF2-07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听诊器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听诊器传音清晰，扁形听诊头的上膜片不应松动；耳环弹簧片应用弹簧钢制成，弹力应适宜，弹性应良好；三通导管总长为600mm；扁形听诊头内腔不得有裂痕、砂眼，听诊器各部的外型应对称，不得有裂纹，凹陷和镀层脱落及焊接处残留、堆积现象。</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AF2-08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整理箱</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#1、矮型，储存及分发药品用，环保塑料材质。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AF2-09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#1.由铁环和3只脚组成。铁环内径：74mm， 外径：90mm。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AF2-10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#1．产品由顶板、底板、插杆组成，8孔、8插。</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AF2-11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软尺</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#1.规格：1500mm。软尺最小分度值为1cm，分度值之间有相应的数字，刻度线均匀、清晰，无形变。</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把</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AF2-12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测微尺</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#1.物镜测微尺是一标淮刻尺，纵横坐标刻划长度为100mm，分为100等分，每一分度值为0.01mm,台式，显微镜用。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AF2-13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#1.200g，0.2g</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AF2-14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电子停表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0.1s。教学用电子秒表，采用电子芯片，电池电压为1.5V。数据可精确到0.01s。秒表计时应带有简易计时、分段计时、时间显示，带暂停按钮。秒表具有每小时报时，每日定时响闹及自动重响功能，应可显示时间，12及24小时制式，日历、星期、防水，防震结构等功能。</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AF2-15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#1．红液。尺寸要求不小于：长300mm；外径：5mm；头：10mm。测量范围：0－100℃；玻管要直，不得弯曲，不得</w:t>
            </w:r>
            <w:r>
              <w:rPr>
                <w:rFonts w:hint="eastAsia" w:ascii="宋体" w:hAnsi="宋体" w:cs="宋体"/>
                <w:i w:val="0"/>
                <w:iCs w:val="0"/>
                <w:color w:val="auto"/>
                <w:sz w:val="21"/>
                <w:szCs w:val="21"/>
                <w:u w:val="none"/>
                <w:lang w:val="en-US" w:eastAsia="zh-CN" w:bidi="ar"/>
              </w:rPr>
              <w:t xml:space="preserve">破损</w:t>
            </w:r>
            <w:r>
              <w:rPr>
                <w:rFonts w:hint="eastAsia" w:ascii="宋体" w:hAnsi="宋体" w:eastAsia="宋体" w:cs="宋体"/>
                <w:i w:val="0"/>
                <w:iCs w:val="0"/>
                <w:color w:val="auto"/>
                <w:sz w:val="21"/>
                <w:szCs w:val="21"/>
                <w:u w:val="none"/>
                <w:lang w:val="en-US" w:eastAsia="zh-CN" w:bidi="ar"/>
              </w:rPr>
              <w:t xml:space="preserve">缺口，红液不得断线。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产品应符合《玻璃仪器通用技术要求》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AF2-16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干湿球温度计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#1．总长不小于15cm。测量温度范围：0～50℃，分度值：2℃，每度标度线间距不小于3 mm。温度示值允许误差±1℃。教学演示效果明显。</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AF2-17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计数器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#1．手持式，金属外壳。</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AF2-18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解剖器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#1．用优质不锈钢制成。由直刃解剖刀、尖头解剖剪、普通镊子、解剖针等组成。大剪刀长度不小于15cm，其余长度均不应小于10cm。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AF2-19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解剖盘</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产品为盛有石蜡的金属盘。解剖盘用铝合金板或不锈钢板冲压成型。外型尺寸不小于240mmX190mm×15mm。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AF2-20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接种环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#1、产品由镍铬丝和金属棒杆、塑料柄等组成。金属棒杆直径约Φ4mm，一端开口配有透孔紧固螺母，另一端有塑料手柄，并配有Φ0.5镍铬丝。</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把</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AF2-21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植物光合作用、呼吸作用、蒸腾作用演示器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#1、产品由透明容器、集气盖、试管、漏斗、盖板和试管架等部件组成。透明容器为透明有机玻璃板粘接而成。</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36"/>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AF2-22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徒手切片器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规格及主要指标：分度值0.02mm，升降范围0～10mm，精度0.01～0.10mm，外形尺寸应不小于73～80mm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 夹持部分可靠，推进机构灵活、稳定，无跳动现象，刻度应准确。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 平台应平整、光滑，无明显机械缺陷。</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 金属件应作镀铬处理，无漏底及镀层剥落现象。</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AF2-23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研磨过滤器</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研磨过滤器由顶盖、研磨杆、过滤网、研磨头、外套筒组成。</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353"/>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AF2-24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心脏解剖模型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#1．规格：自然大。模型的外形按照标本复制，沿左右心耳的上方和左右心房、心室的两侧至心尖，剖开心脏的胸肋面，将心脏分成前后两部件。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914"/>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AF2-25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植物根尖纵切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标本在80x和200x学生显微镜下观察根尖的结构。能看清根冠、分生区、伸长区、根毛区和原形成层等。根毛与表皮细胞无间隔，可不要求看到根毛内的胞核。标本取于人工培养的玉米根，取材部位为根冠至根毛区。标本的纵切面应与原形成层平行，</w:t>
            </w:r>
            <w:r>
              <w:rPr>
                <w:rFonts w:hint="eastAsia" w:ascii="宋体" w:hAnsi="宋体" w:cs="宋体"/>
                <w:i w:val="0"/>
                <w:iCs w:val="0"/>
                <w:color w:val="auto"/>
                <w:sz w:val="21"/>
                <w:szCs w:val="21"/>
                <w:u w:val="none"/>
                <w:lang w:val="en-US" w:eastAsia="zh-CN" w:bidi="ar"/>
              </w:rPr>
              <w:t xml:space="preserve">并通</w:t>
            </w:r>
            <w:r>
              <w:rPr>
                <w:rFonts w:hint="eastAsia" w:ascii="宋体" w:hAnsi="宋体" w:eastAsia="宋体" w:cs="宋体"/>
                <w:i w:val="0"/>
                <w:iCs w:val="0"/>
                <w:color w:val="auto"/>
                <w:sz w:val="21"/>
                <w:szCs w:val="21"/>
                <w:u w:val="none"/>
                <w:lang w:val="en-US" w:eastAsia="zh-CN" w:bidi="ar"/>
              </w:rPr>
              <w:t xml:space="preserve">过原形成层。原形成层顶端至分生区顶端的距离应在基本分生组织厚度的1／3以内。如无完整根毛时，则至少应有一处表皮细胞能显示形成根毛之特征</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切片厚度在8μm以内，每张玻片垂放材料1～2片。胞核着色明显，可见核仁，胞质着色均匀。</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AF2-26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顶芽纵切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标本在100x和400X生物显微镜下观察顶芽纵断面的结构。能看清生长锥、叶原基、幼叶、腋芽原基和芽轴等。生长锥最外层为排列整齐的原套细胞。原套内为排列不整齐细胞体较大的原体细胞。标本取材为黑藻顶芽。做芽的中部纵切,切片厚度在8μm 以内,每张玻片垂直放材料一片。应使幼叶完全包在生长锥上，原套细胞形态正常。生长锥及幼叶处细胞无“质壁分离”现象。</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AF2-27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南瓜茎纵切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基本在80x和200x学生显微镜下观察南瓜茎纵横断面的结构。在</w:t>
            </w:r>
            <w:r>
              <w:rPr>
                <w:rFonts w:hint="eastAsia" w:ascii="宋体" w:hAnsi="宋体" w:cs="宋体"/>
                <w:i w:val="0"/>
                <w:iCs w:val="0"/>
                <w:color w:val="auto"/>
                <w:sz w:val="21"/>
                <w:szCs w:val="21"/>
                <w:u w:val="none"/>
                <w:lang w:val="en-US" w:eastAsia="zh-CN" w:bidi="ar"/>
              </w:rPr>
              <w:t xml:space="preserve">横断</w:t>
            </w:r>
            <w:r>
              <w:rPr>
                <w:rFonts w:hint="eastAsia" w:ascii="宋体" w:hAnsi="宋体" w:eastAsia="宋体" w:cs="宋体"/>
                <w:i w:val="0"/>
                <w:iCs w:val="0"/>
                <w:color w:val="auto"/>
                <w:sz w:val="21"/>
                <w:szCs w:val="21"/>
                <w:u w:val="none"/>
                <w:lang w:val="en-US" w:eastAsia="zh-CN" w:bidi="ar"/>
              </w:rPr>
              <w:t xml:space="preserve">面上能看清皮层、机械组织、薄壁组织、双韧维管束和髓腔，在表皮上可见表皮毛，在纵断面上应能看清上述组织的纵断结构。在双韧维管</w:t>
            </w:r>
            <w:r>
              <w:rPr>
                <w:rFonts w:hint="eastAsia" w:ascii="宋体" w:hAnsi="宋体" w:cs="宋体"/>
                <w:i w:val="0"/>
                <w:iCs w:val="0"/>
                <w:color w:val="auto"/>
                <w:sz w:val="21"/>
                <w:szCs w:val="21"/>
                <w:u w:val="none"/>
                <w:lang w:val="en-US" w:eastAsia="zh-CN" w:bidi="ar"/>
              </w:rPr>
              <w:t xml:space="preserve">束</w:t>
            </w:r>
            <w:r>
              <w:rPr>
                <w:rFonts w:hint="eastAsia" w:ascii="宋体" w:hAnsi="宋体" w:eastAsia="宋体" w:cs="宋体"/>
                <w:i w:val="0"/>
                <w:iCs w:val="0"/>
                <w:color w:val="auto"/>
                <w:sz w:val="21"/>
                <w:szCs w:val="21"/>
                <w:u w:val="none"/>
                <w:lang w:val="en-US" w:eastAsia="zh-CN" w:bidi="ar"/>
              </w:rPr>
              <w:t xml:space="preserve">的横断面上能看清导管、形成层、筛管和筛板，筛板上有筛孔。在纵断面上能看清网纹导管或环纹导管或螺纹导管中的两种和筛管、筛板等的结构。标本取材于田间种植的南瓜茎，注意老幼适中。纵横切片的厚度为15～25μm。纵切材料应两端整齐，长度不小于5mm，表皮细胞完整，木质导管基本连续。标本用蕾红、固绿染色，机械组织、木质部导管红色，其他组织绿色，筛板可呈红或绿色。</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AF2-28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木本双子叶植物茎横切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80×和200×学生显微镜下,观察双子叶植物茎横断面的结构。能看清表皮（有时可看到表皮毛）厚角组织、薄壁组织、髓及环列于茎中的维管束等。能看清维管束为外韧型，分别认出韧皮纤维、筛板、筛管、形成层和木质导管等横断结构。标本取材于椴木。切片厚度在25μm以内。表皮、厚角组织、薄壁组织和维管束等处细胞倾斜部分不超过茎横断面的1/4。形成层形态正常。标本用番红、固绿染色，导管、厚壁组织，呈红色，</w:t>
            </w:r>
            <w:r>
              <w:rPr>
                <w:rFonts w:hint="eastAsia" w:ascii="宋体" w:hAnsi="宋体" w:cs="宋体"/>
                <w:i w:val="0"/>
                <w:iCs w:val="0"/>
                <w:color w:val="auto"/>
                <w:sz w:val="21"/>
                <w:szCs w:val="21"/>
                <w:u w:val="none"/>
                <w:lang w:val="en-US" w:eastAsia="zh-CN" w:bidi="ar"/>
              </w:rPr>
              <w:t xml:space="preserve">其他组织</w:t>
            </w:r>
            <w:r>
              <w:rPr>
                <w:rFonts w:hint="eastAsia" w:ascii="宋体" w:hAnsi="宋体" w:eastAsia="宋体" w:cs="宋体"/>
                <w:i w:val="0"/>
                <w:iCs w:val="0"/>
                <w:color w:val="auto"/>
                <w:sz w:val="21"/>
                <w:szCs w:val="21"/>
                <w:u w:val="none"/>
                <w:lang w:val="en-US" w:eastAsia="zh-CN" w:bidi="ar"/>
              </w:rPr>
              <w:t xml:space="preserve">绿色，厚角组织、筛板等有时也可呈红色。</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AF2-29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植物细胞有丝分裂</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400×生物显微镜下植物细胞有丝分裂的各期形态。期能看清分裂期间的细胞和分裂过程中的前期、中期、后期、末期的分裂形态。还能看清分裂各期染色体的位置，纺锤体隐约可见。标本取材于人工培养的细胞分裂旺盛时期的洋葱根尖，根的上端应切齐。切片厚度为5μm，每张玻片垂直放材料1～3片。根尖应完整无破损现象，细胞间可有轻微裂隙。标本单一染色，胞核、核仁、染色体应着色明显，胞质色淡。</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AF2-30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迎春叶横切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80×和200×学生显微镜下，观察迎春叶横断面。能看清上下表皮，气孔的断面、栅状组织、海绵组织、叶脉等。在栅栏组织和海绵组织的细胞中能看清胞核和叶绿体。在主脉的横切断面上看清木质部韧皮部形成层和机械组织。在主脉两侧可见到侧脉的横或纵断面，也应看清木质部和韧皮部，有时可见木质部导管的纵切面。标本取材为迎春叶。作过主脉的横切片厚度为8微米，每张玻片横放材料一片。</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29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AF2-31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青霉装片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#1．标本在200x学生显微镜下观察青霉的形态。在400X镜下能看清帚状枝的梗基和小梗及小梗上呈链状的分生孢子。标本取材为人工培养的典型青霉。视菌株培养</w:t>
            </w:r>
            <w:r>
              <w:rPr>
                <w:rFonts w:hint="eastAsia" w:ascii="宋体" w:hAnsi="宋体" w:cs="宋体"/>
                <w:i w:val="0"/>
                <w:iCs w:val="0"/>
                <w:color w:val="auto"/>
                <w:sz w:val="21"/>
                <w:szCs w:val="21"/>
                <w:u w:val="none"/>
                <w:lang w:val="en-US" w:eastAsia="zh-CN" w:bidi="ar"/>
              </w:rPr>
              <w:t xml:space="preserve">情况</w:t>
            </w:r>
            <w:r>
              <w:rPr>
                <w:rFonts w:hint="eastAsia" w:ascii="宋体" w:hAnsi="宋体" w:eastAsia="宋体" w:cs="宋体"/>
                <w:i w:val="0"/>
                <w:iCs w:val="0"/>
                <w:color w:val="auto"/>
                <w:sz w:val="21"/>
                <w:szCs w:val="21"/>
                <w:u w:val="none"/>
                <w:lang w:val="en-US" w:eastAsia="zh-CN" w:bidi="ar"/>
              </w:rPr>
              <w:t xml:space="preserve">可做装片或切氏切片方向应平行于分生孢子梗，厚度根据菌株培养情况决定。标本单一染色，菌丝、分生孢子梗、分生孢子应着色明显、对比协调。分生孢子梗不应断裂，散落的</w:t>
            </w:r>
            <w:r>
              <w:rPr>
                <w:rFonts w:hint="eastAsia" w:ascii="宋体" w:hAnsi="宋体" w:cs="宋体"/>
                <w:i w:val="0"/>
                <w:iCs w:val="0"/>
                <w:color w:val="auto"/>
                <w:sz w:val="21"/>
                <w:szCs w:val="21"/>
                <w:u w:val="none"/>
                <w:lang w:val="en-US" w:eastAsia="zh-CN" w:bidi="ar"/>
              </w:rPr>
              <w:t xml:space="preserve">孢子</w:t>
            </w:r>
            <w:r>
              <w:rPr>
                <w:rFonts w:hint="eastAsia" w:ascii="宋体" w:hAnsi="宋体" w:eastAsia="宋体" w:cs="宋体"/>
                <w:i w:val="0"/>
                <w:iCs w:val="0"/>
                <w:color w:val="auto"/>
                <w:sz w:val="21"/>
                <w:szCs w:val="21"/>
                <w:u w:val="none"/>
                <w:lang w:val="en-US" w:eastAsia="zh-CN" w:bidi="ar"/>
              </w:rPr>
              <w:t xml:space="preserve">不得影响对特征的观察。菌丝、孢子梗、孢子应无收缩现象。应能看到不少于五个模式的帚状枝。无杂菌、无污物，培养基和包埋剂无色。</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AF2-32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细菌三型涂片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在500x生物显微镜下观察细菌的三种基本形态。清晰地看出球菌、杆菌、螺旋菌的形态，不要求显示鞭毛。标本一般应取材于人工培养的球菌、杆菌、螺旋菌。球菌可用单球菌、双球菌成葡萄球菌，杆菌可用枯草杆菌、大肠杆菌或炭疽杆菌，螺旋菌可用具有一个穹以上的任一种螺旋菌。在自然界的污水中可采到三种形态的细菌混合物，其中无原生动物时也可应用。作三种细菌的混合涂片，所用载玻片应经洗液清洗。选用能清晰显示菌体的染色方法，并不得有任何沉淀物。</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AF2-33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曲霉装片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100×和400×生物显微镜下，观察曲霉的形态。能看清营养菌丝，及其上的分生孢子梗、顶囊和顶端的分生孢子。能认出分生孢子穗的小梗和成串的分生孢子。标本取材于人工培养的曲霉属任一种。视菌株培养的情况，可做装片或切片，切片方向应平行于分生孢子梗，切片厚度根据</w:t>
            </w:r>
            <w:r>
              <w:rPr>
                <w:rFonts w:hint="eastAsia" w:ascii="宋体" w:hAnsi="宋体" w:cs="宋体"/>
                <w:i w:val="0"/>
                <w:iCs w:val="0"/>
                <w:color w:val="auto"/>
                <w:sz w:val="21"/>
                <w:szCs w:val="21"/>
                <w:u w:val="none"/>
                <w:lang w:val="en-US" w:eastAsia="zh-CN" w:bidi="ar"/>
              </w:rPr>
              <w:t xml:space="preserve">菌株</w:t>
            </w:r>
            <w:r>
              <w:rPr>
                <w:rFonts w:hint="eastAsia" w:ascii="宋体" w:hAnsi="宋体" w:eastAsia="宋体" w:cs="宋体"/>
                <w:i w:val="0"/>
                <w:iCs w:val="0"/>
                <w:color w:val="auto"/>
                <w:sz w:val="21"/>
                <w:szCs w:val="21"/>
                <w:u w:val="none"/>
                <w:lang w:val="en-US" w:eastAsia="zh-CN" w:bidi="ar"/>
              </w:rPr>
              <w:t xml:space="preserve">培养情况决定。标本为单一染色，不复染。菌丝，分生孢子梗，分生孢子应着色明显。分生孢子玻不应断裂，散落的老孢子不得影响对特征的观察。菌丝、孢子玻和孢子应无收短现象。应能看到不少于五个模式的分生孢子穗。无杂菌，无污物，培养基或包埋剂无色。</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AF2-34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水螅带芽整体装片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100×显微镜下观察。取材为形体完整并带芽体的水螅。水螅体壁不皱缩、不破损、芽体无脱开现象。能看清芽体空腔与消化循环腔相通。封盖后水螅体无挤压现象，可在水螅体四周填以玻璃小片，再行封固。</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AF2-35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纤维结缔组织切片(腱纵切)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#1．角质标本在400x生物显微</w:t>
            </w:r>
            <w:r>
              <w:rPr>
                <w:rFonts w:hint="eastAsia" w:ascii="宋体" w:hAnsi="宋体" w:eastAsia="宋体" w:cs="宋体"/>
                <w:i w:val="0"/>
                <w:iCs w:val="0"/>
                <w:color w:val="auto"/>
                <w:sz w:val="21"/>
                <w:szCs w:val="21"/>
                <w:u w:val="none"/>
                <w:lang w:val="en-US" w:eastAsia="zh-CN" w:bidi="ar"/>
              </w:rPr>
              <w:t xml:space="preserve">镜下观察膛纵断面的结构。能看清乎行排列的胶原纤维束和呈不规则四边形的腱细胞，但在标本上由于腱细胞的切面方向不同，也可呈长条形。腱细胞核呈球形，偏于细胞一端，和邻近的细胞核并列在一起，但在标本上由于腱细胞的切面方向不同，也可呈长圆或扁圆形。标本取材于哺乳动物或两栖动物的跟腱或尾腱，并应保持其自然伸直状态。作腱的纵断面切片，切片厚度在15μm以内，材料长度应不小于4mm。胶原纤维束应伸直，可有部分略呈波纹状，但不得有断裂或卷曲现象。腱细胞核着色应明显，胞质略着色，使其与胶原纤维束易于区分。纵向裂隙不得超过一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AF2-36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疏松结缔组织装片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#1．标本在80x和200x学生显微镜下观察疏松结缔组织的结构。 能看清纵横交错的胶原纤维和弹力纤维以及大量的成纤维细胞，胞核较大呈卵圆形。疏松结缔组织内的其他细胞不要求显示。标本取材于哺乳动物的皮下结缔组织，均匀平铺于载玻片正中。平铺的结缔组织中不得</w:t>
            </w:r>
            <w:r>
              <w:rPr>
                <w:rFonts w:hint="eastAsia" w:ascii="宋体" w:hAnsi="宋体" w:cs="宋体"/>
                <w:i w:val="0"/>
                <w:iCs w:val="0"/>
                <w:color w:val="auto"/>
                <w:sz w:val="21"/>
                <w:szCs w:val="21"/>
                <w:u w:val="none"/>
                <w:lang w:val="en-US" w:eastAsia="zh-CN" w:bidi="ar"/>
              </w:rPr>
              <w:t xml:space="preserve">混入</w:t>
            </w:r>
            <w:r>
              <w:rPr>
                <w:rFonts w:hint="eastAsia" w:ascii="宋体" w:hAnsi="宋体" w:eastAsia="宋体" w:cs="宋体"/>
                <w:i w:val="0"/>
                <w:iCs w:val="0"/>
                <w:color w:val="auto"/>
                <w:sz w:val="21"/>
                <w:szCs w:val="21"/>
                <w:u w:val="none"/>
                <w:lang w:val="en-US" w:eastAsia="zh-CN" w:bidi="ar"/>
              </w:rPr>
              <w:t xml:space="preserve">动物的毛。标本用显示弹力纤维的方法染色，再复染胶原纤维等。弹力纤维应明显，胶原纤维均匀、形态正常，不得有溶解现象；成纤维细胞的胞核不收缩，并可见胞质。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AF2-37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人血涂片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400x生物显微镜下观察血液中血胞的形态。能看清红血细胞和白血细胞，有时可见血小板。标本取材于人的新鲜血液，血细胞变形者，不宜使用。血膜应涂布均匀、无污物，血细胞不重叠、无变形和自溶现象。用苏木精、曙红双重染色。染色要均匀，白血细胞的胞核和血小板呈</w:t>
            </w:r>
            <w:r>
              <w:rPr>
                <w:rFonts w:hint="eastAsia" w:ascii="宋体" w:hAnsi="宋体" w:cs="宋体"/>
                <w:i w:val="0"/>
                <w:iCs w:val="0"/>
                <w:color w:val="auto"/>
                <w:sz w:val="21"/>
                <w:szCs w:val="21"/>
                <w:u w:val="none"/>
                <w:lang w:val="en-US" w:eastAsia="zh-CN" w:bidi="ar"/>
              </w:rPr>
              <w:t xml:space="preserve">蓝紫色</w:t>
            </w:r>
            <w:r>
              <w:rPr>
                <w:rFonts w:hint="eastAsia" w:ascii="宋体" w:hAnsi="宋体" w:eastAsia="宋体" w:cs="宋体"/>
                <w:i w:val="0"/>
                <w:iCs w:val="0"/>
                <w:color w:val="auto"/>
                <w:sz w:val="21"/>
                <w:szCs w:val="21"/>
                <w:u w:val="none"/>
                <w:lang w:val="en-US" w:eastAsia="zh-CN" w:bidi="ar"/>
              </w:rPr>
              <w:t xml:space="preserve">，白血细胞的胞质和红血细胞呈粉红色，血浆不着色。</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1364"/>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AF2-38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骨骼肌纵横切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#1．标本在80X和200X学生显微镜下观察骨骼肌纵横切破片标志</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在纵断面上</w:t>
            </w:r>
            <w:r>
              <w:rPr>
                <w:rFonts w:hint="eastAsia" w:ascii="宋体" w:hAnsi="宋体" w:cs="宋体"/>
                <w:i w:val="0"/>
                <w:iCs w:val="0"/>
                <w:color w:val="auto"/>
                <w:sz w:val="21"/>
                <w:szCs w:val="21"/>
                <w:u w:val="none"/>
                <w:lang w:val="en-US" w:eastAsia="zh-CN" w:bidi="ar"/>
              </w:rPr>
              <w:t xml:space="preserve">能</w:t>
            </w:r>
            <w:r>
              <w:rPr>
                <w:rFonts w:hint="eastAsia" w:ascii="宋体" w:hAnsi="宋体" w:eastAsia="宋体" w:cs="宋体"/>
                <w:i w:val="0"/>
                <w:iCs w:val="0"/>
                <w:color w:val="auto"/>
                <w:sz w:val="21"/>
                <w:szCs w:val="21"/>
                <w:u w:val="none"/>
                <w:lang w:val="en-US" w:eastAsia="zh-CN" w:bidi="ar"/>
              </w:rPr>
              <w:t xml:space="preserve">看清肌外膜和成束的股</w:t>
            </w:r>
            <w:r>
              <w:rPr>
                <w:rFonts w:hint="eastAsia" w:ascii="宋体" w:hAnsi="宋体" w:cs="宋体"/>
                <w:i w:val="0"/>
                <w:iCs w:val="0"/>
                <w:color w:val="auto"/>
                <w:sz w:val="21"/>
                <w:szCs w:val="21"/>
                <w:u w:val="none"/>
                <w:lang w:val="en-US" w:eastAsia="zh-CN" w:bidi="ar"/>
              </w:rPr>
              <w:t xml:space="preserve">纤维</w:t>
            </w:r>
            <w:r>
              <w:rPr>
                <w:rFonts w:hint="eastAsia" w:ascii="宋体" w:hAnsi="宋体" w:eastAsia="宋体" w:cs="宋体"/>
                <w:i w:val="0"/>
                <w:iCs w:val="0"/>
                <w:color w:val="auto"/>
                <w:sz w:val="21"/>
                <w:szCs w:val="21"/>
                <w:u w:val="none"/>
                <w:lang w:val="en-US" w:eastAsia="zh-CN" w:bidi="ar"/>
              </w:rPr>
              <w:t xml:space="preserve">,股纤维上有显暗相间的横纹,即明带和暗带。在肌膜下可见圆形或长形的胞核。在横断面上</w:t>
            </w:r>
            <w:r>
              <w:rPr>
                <w:rFonts w:hint="eastAsia" w:ascii="宋体" w:hAnsi="宋体" w:cs="宋体"/>
                <w:i w:val="0"/>
                <w:iCs w:val="0"/>
                <w:color w:val="auto"/>
                <w:sz w:val="21"/>
                <w:szCs w:val="21"/>
                <w:u w:val="none"/>
                <w:lang w:val="en-US" w:eastAsia="zh-CN" w:bidi="ar"/>
              </w:rPr>
              <w:t xml:space="preserve">能</w:t>
            </w:r>
            <w:r>
              <w:rPr>
                <w:rFonts w:hint="eastAsia" w:ascii="宋体" w:hAnsi="宋体" w:eastAsia="宋体" w:cs="宋体"/>
                <w:i w:val="0"/>
                <w:iCs w:val="0"/>
                <w:color w:val="auto"/>
                <w:sz w:val="21"/>
                <w:szCs w:val="21"/>
                <w:u w:val="none"/>
                <w:lang w:val="en-US" w:eastAsia="zh-CN" w:bidi="ar"/>
              </w:rPr>
              <w:t xml:space="preserve">看清肌外膜、肌束膜、肌纤维及其胞核和小血管等。标本取材于哺乳动物的隔肌纵横切片的厚度均在8μm</w:t>
            </w:r>
            <w:r>
              <w:rPr>
                <w:rFonts w:hint="eastAsia" w:ascii="宋体" w:hAnsi="宋体" w:cs="宋体"/>
                <w:i w:val="0"/>
                <w:iCs w:val="0"/>
                <w:color w:val="auto"/>
                <w:sz w:val="21"/>
                <w:szCs w:val="21"/>
                <w:u w:val="none"/>
                <w:lang w:val="en-US" w:eastAsia="zh-CN" w:bidi="ar"/>
              </w:rPr>
              <w:t xml:space="preserve">以下</w:t>
            </w:r>
            <w:r>
              <w:rPr>
                <w:rFonts w:hint="eastAsia" w:ascii="宋体" w:hAnsi="宋体" w:eastAsia="宋体" w:cs="宋体"/>
                <w:i w:val="0"/>
                <w:iCs w:val="0"/>
                <w:color w:val="auto"/>
                <w:sz w:val="21"/>
                <w:szCs w:val="21"/>
                <w:u w:val="none"/>
                <w:lang w:val="en-US" w:eastAsia="zh-CN" w:bidi="ar"/>
              </w:rPr>
              <w:t xml:space="preserve">每张玻片放纵、横切各一片。明暗带及胞核等应着色清晰,对比协调。纵切材料的肌纤维应伸直,成纵断面的肌纤维不得</w:t>
            </w:r>
            <w:r>
              <w:rPr>
                <w:rFonts w:hint="eastAsia" w:ascii="宋体" w:hAnsi="宋体" w:cs="宋体"/>
                <w:i w:val="0"/>
                <w:iCs w:val="0"/>
                <w:color w:val="auto"/>
                <w:sz w:val="21"/>
                <w:szCs w:val="21"/>
                <w:u w:val="none"/>
                <w:lang w:val="en-US" w:eastAsia="zh-CN" w:bidi="ar"/>
              </w:rPr>
              <w:t xml:space="preserve">小于</w:t>
            </w:r>
            <w:r>
              <w:rPr>
                <w:rFonts w:hint="eastAsia" w:ascii="宋体" w:hAnsi="宋体" w:eastAsia="宋体" w:cs="宋体"/>
                <w:i w:val="0"/>
                <w:iCs w:val="0"/>
                <w:color w:val="auto"/>
                <w:sz w:val="21"/>
                <w:szCs w:val="21"/>
                <w:u w:val="none"/>
                <w:lang w:val="en-US" w:eastAsia="zh-CN" w:bidi="ar"/>
              </w:rPr>
              <w:t xml:space="preserve">90%,肌膜无裂隙; 横切材料肌纤维囊应不收缩、无裂隙;纵横切材料的肌</w:t>
            </w:r>
            <w:r>
              <w:rPr>
                <w:rFonts w:hint="eastAsia" w:ascii="宋体" w:hAnsi="宋体" w:cs="宋体"/>
                <w:i w:val="0"/>
                <w:iCs w:val="0"/>
                <w:color w:val="auto"/>
                <w:sz w:val="21"/>
                <w:szCs w:val="21"/>
                <w:u w:val="none"/>
                <w:lang w:val="en-US" w:eastAsia="zh-CN" w:bidi="ar"/>
              </w:rPr>
              <w:t xml:space="preserve">膜</w:t>
            </w:r>
            <w:r>
              <w:rPr>
                <w:rFonts w:hint="eastAsia" w:ascii="宋体" w:hAnsi="宋体" w:eastAsia="宋体" w:cs="宋体"/>
                <w:i w:val="0"/>
                <w:iCs w:val="0"/>
                <w:color w:val="auto"/>
                <w:sz w:val="21"/>
                <w:szCs w:val="21"/>
                <w:u w:val="none"/>
                <w:lang w:val="en-US" w:eastAsia="zh-CN" w:bidi="ar"/>
              </w:rPr>
              <w:t xml:space="preserve">,肌外膜均应完整无皱褶。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AF2-39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平滑肌分离装片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#1．标本在80X和200X学生显微镜下观察骨骼肌纵横切破片标志</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在纵断面上</w:t>
            </w:r>
            <w:r>
              <w:rPr>
                <w:rFonts w:hint="eastAsia" w:ascii="宋体" w:hAnsi="宋体" w:cs="宋体"/>
                <w:i w:val="0"/>
                <w:iCs w:val="0"/>
                <w:color w:val="auto"/>
                <w:sz w:val="21"/>
                <w:szCs w:val="21"/>
                <w:u w:val="none"/>
                <w:lang w:val="en-US" w:eastAsia="zh-CN" w:bidi="ar"/>
              </w:rPr>
              <w:t xml:space="preserve">能</w:t>
            </w:r>
            <w:r>
              <w:rPr>
                <w:rFonts w:hint="eastAsia" w:ascii="宋体" w:hAnsi="宋体" w:eastAsia="宋体" w:cs="宋体"/>
                <w:i w:val="0"/>
                <w:iCs w:val="0"/>
                <w:color w:val="auto"/>
                <w:sz w:val="21"/>
                <w:szCs w:val="21"/>
                <w:u w:val="none"/>
                <w:lang w:val="en-US" w:eastAsia="zh-CN" w:bidi="ar"/>
              </w:rPr>
              <w:t xml:space="preserve">看清肌外膜和成束的股</w:t>
            </w:r>
            <w:r>
              <w:rPr>
                <w:rFonts w:hint="eastAsia" w:ascii="宋体" w:hAnsi="宋体" w:cs="宋体"/>
                <w:i w:val="0"/>
                <w:iCs w:val="0"/>
                <w:color w:val="auto"/>
                <w:sz w:val="21"/>
                <w:szCs w:val="21"/>
                <w:u w:val="none"/>
                <w:lang w:val="en-US" w:eastAsia="zh-CN" w:bidi="ar"/>
              </w:rPr>
              <w:t xml:space="preserve">纤维</w:t>
            </w:r>
            <w:r>
              <w:rPr>
                <w:rFonts w:hint="eastAsia" w:ascii="宋体" w:hAnsi="宋体" w:eastAsia="宋体" w:cs="宋体"/>
                <w:i w:val="0"/>
                <w:iCs w:val="0"/>
                <w:color w:val="auto"/>
                <w:sz w:val="21"/>
                <w:szCs w:val="21"/>
                <w:u w:val="none"/>
                <w:lang w:val="en-US" w:eastAsia="zh-CN" w:bidi="ar"/>
              </w:rPr>
              <w:t xml:space="preserve">,股纤维上有显暗相间的横纹,即明带和暗带。在肌膜下可见圆形或长形的胞核。在横断面上</w:t>
            </w:r>
            <w:r>
              <w:rPr>
                <w:rFonts w:hint="eastAsia" w:ascii="宋体" w:hAnsi="宋体" w:cs="宋体"/>
                <w:i w:val="0"/>
                <w:iCs w:val="0"/>
                <w:color w:val="auto"/>
                <w:sz w:val="21"/>
                <w:szCs w:val="21"/>
                <w:u w:val="none"/>
                <w:lang w:val="en-US" w:eastAsia="zh-CN" w:bidi="ar"/>
              </w:rPr>
              <w:t xml:space="preserve">能</w:t>
            </w:r>
            <w:r>
              <w:rPr>
                <w:rFonts w:hint="eastAsia" w:ascii="宋体" w:hAnsi="宋体" w:eastAsia="宋体" w:cs="宋体"/>
                <w:i w:val="0"/>
                <w:iCs w:val="0"/>
                <w:color w:val="auto"/>
                <w:sz w:val="21"/>
                <w:szCs w:val="21"/>
                <w:u w:val="none"/>
                <w:lang w:val="en-US" w:eastAsia="zh-CN" w:bidi="ar"/>
              </w:rPr>
              <w:t xml:space="preserve">看清肌外膜、肌束膜、肌纤维及其胞核和小血管等。标本取材于哺乳动物的隔肌</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纵横切片的厚度均在8μm</w:t>
            </w:r>
            <w:r>
              <w:rPr>
                <w:rFonts w:hint="eastAsia" w:ascii="宋体" w:hAnsi="宋体" w:cs="宋体"/>
                <w:i w:val="0"/>
                <w:iCs w:val="0"/>
                <w:color w:val="auto"/>
                <w:sz w:val="21"/>
                <w:szCs w:val="21"/>
                <w:u w:val="none"/>
                <w:lang w:val="en-US" w:eastAsia="zh-CN" w:bidi="ar"/>
              </w:rPr>
              <w:t xml:space="preserve">以下</w:t>
            </w:r>
            <w:r>
              <w:rPr>
                <w:rFonts w:hint="eastAsia" w:ascii="宋体" w:hAnsi="宋体" w:eastAsia="宋体" w:cs="宋体"/>
                <w:i w:val="0"/>
                <w:iCs w:val="0"/>
                <w:color w:val="auto"/>
                <w:sz w:val="21"/>
                <w:szCs w:val="21"/>
                <w:u w:val="none"/>
                <w:lang w:val="en-US" w:eastAsia="zh-CN" w:bidi="ar"/>
              </w:rPr>
              <w:t xml:space="preserve">每张玻片放纵、横切各一片。明暗带及胞核等应着色清晰,对比协调。纵切材料的肌纤维应伸直,成纵断面的肌纤维不得</w:t>
            </w:r>
            <w:r>
              <w:rPr>
                <w:rFonts w:hint="eastAsia" w:ascii="宋体" w:hAnsi="宋体" w:cs="宋体"/>
                <w:i w:val="0"/>
                <w:iCs w:val="0"/>
                <w:color w:val="auto"/>
                <w:sz w:val="21"/>
                <w:szCs w:val="21"/>
                <w:u w:val="none"/>
                <w:lang w:val="en-US" w:eastAsia="zh-CN" w:bidi="ar"/>
              </w:rPr>
              <w:t xml:space="preserve">小于</w:t>
            </w:r>
            <w:r>
              <w:rPr>
                <w:rFonts w:hint="eastAsia" w:ascii="宋体" w:hAnsi="宋体" w:eastAsia="宋体" w:cs="宋体"/>
                <w:i w:val="0"/>
                <w:iCs w:val="0"/>
                <w:color w:val="auto"/>
                <w:sz w:val="21"/>
                <w:szCs w:val="21"/>
                <w:u w:val="none"/>
                <w:lang w:val="en-US" w:eastAsia="zh-CN" w:bidi="ar"/>
              </w:rPr>
              <w:t xml:space="preserve">90%,肌膜无裂隙; 横切材料肌纤维囊应不收缩、无裂隙;纵横切材料的肌</w:t>
            </w:r>
            <w:r>
              <w:rPr>
                <w:rFonts w:hint="eastAsia" w:ascii="宋体" w:hAnsi="宋体" w:cs="宋体"/>
                <w:i w:val="0"/>
                <w:iCs w:val="0"/>
                <w:color w:val="auto"/>
                <w:sz w:val="21"/>
                <w:szCs w:val="21"/>
                <w:u w:val="none"/>
                <w:lang w:val="en-US" w:eastAsia="zh-CN" w:bidi="ar"/>
              </w:rPr>
              <w:t xml:space="preserve">膜</w:t>
            </w:r>
            <w:r>
              <w:rPr>
                <w:rFonts w:hint="eastAsia" w:ascii="宋体" w:hAnsi="宋体" w:eastAsia="宋体" w:cs="宋体"/>
                <w:i w:val="0"/>
                <w:iCs w:val="0"/>
                <w:color w:val="auto"/>
                <w:sz w:val="21"/>
                <w:szCs w:val="21"/>
                <w:u w:val="none"/>
                <w:lang w:val="en-US" w:eastAsia="zh-CN" w:bidi="ar"/>
              </w:rPr>
              <w:t xml:space="preserve">,肌外膜均应完整无皱褶。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35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AF2-40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心肌切片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标本在80x和200x学生显微镜下观察心肌的结构。在心肌的断面上能看清柱状并具有分枝的肌纤维（肌细胞），胞核呈圆形或椭圆形，位于肌纤维的中央</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在肌纤维彼此衔接的地方能看清心肌的特有结构—“闰盘”。在肌纤维的横断面上能看清肌原纤维和圆形核的横断面结构。在400x镜下能看清肌原纤维上有纤细的横纹。标本取材于哺乳动物的心脏。切片厚度在8μm以内，材料面积不小于4x4mm。用能显示闰盘和横纹的方法染色！要求闰盘、胞核着色明显，横纹清晰，胞质不着色或色淡。呈纵断面的肌纤维应不少于材料面积的2／5。应保持细胞结构正常。</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1316"/>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AF2-41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运动神经元装片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80x和200x学生显微镜下观察运动神经原的形态。能看清运动神经原的细胞体和突起、细胞体内的胞核、少量的神经纤维和神经胶质细胞的胞核。不要求显示尼氏体。标本取材于脊髓灰质前角中的运动神经原，作涂片或分离装片。用能显示细胞结构和不易褪色的方法染色。神经原应分布均轧形态正执无破碎现象。在80x镜下盖玻片中间部分的任一视野内应不少于五个运动神经原。</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29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AF2-42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动静脉血管横切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400×生物显微镜下观察动脉及静脉的结构。动脉能看清内膜的内皮和内弹性膜、中膜的肌纤维、外膜的外弹性膜。静脉能看清内膜的内皮和富于纤维的外膜，中膜不明显。在动静脉外围的结缔组织中，有时可见小血管、神经、淋巴管和淋巴结等断面结构。标本取材于哺乳动物的腹主动脉和下腔静脉。取材时不应过多的保留血管外围的其它组织。标本应轮廓完整，不应切穿分枝处，厚度在9μm以内。标本用苏木精、曙红双重染色。内皮应90%以上完整，无皱褶、刀痕和破裂等现象。动静脉外围所附带的其它组织，不得影响对主要结构的观察。</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AF2-43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小肠切片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400×生物显微镜下观察小肠壁的结构。能看清粘膜，包括绒毛、粘膜肌层和肠腺，粘膜下层、肌层和浆膜等。绒毛表面为单层柱状上皮，其间杂有杯状细胞。在粘膜至粘膜下层间，有时可见淋巴小结的切面。肌层为内环、外纵，标本上环行肌呈纵断面，纵行肌呈横断面。标本取材于哺乳动物的空肠或回肠</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作完整的小肠横断切片或小肠的部分横切片（长度不小于5mm），厚度在8μm以内，绒毛较直，切穿绒毛基部呈纵断形态者不少于三条。绒外不应附着粘液，上皮细胞不应有自溶现象，其它组织无炎症或病变。染色对比协调，着色均匀，粘膜肌层与粘膜下层不脱离，肌层无破裂。</w:t>
            </w:r>
            <w:r>
              <w:rPr>
                <w:rFonts w:hint="eastAsia" w:ascii="宋体" w:hAnsi="宋体" w:eastAsia="宋体" w:cs="宋体"/>
                <w:i w:val="0"/>
                <w:iCs w:val="0"/>
                <w:color w:val="auto"/>
                <w:sz w:val="21"/>
                <w:szCs w:val="21"/>
                <w:u w:val="none"/>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AF2-44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字母“e”装片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#1．标本在80×学生显微镜下能观察整体字母“e”。使学生了解掌握显微镜成像与标本实体反方向的性能。标本字母“e”字迹清晰，无污物。字母应不能脱落，放置不能歪斜。</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AF2-45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正常人染色体装片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#1．标本在80×学生显微镜下能观察整体字母“e”。使学生了解掌握显微镜成像与标本实体反方向的性能。标本字母“e”字迹清晰，无污物。字母应不能脱落，放置不能歪斜。</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AF2-46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验证基因分离规律玉米标本</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#1、玉米穗</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AF2-47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AF2-48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AF2-49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AF2-50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#1、φ12mm×70mm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AF2-51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#1、φ15mm×150mm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AF2-52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AF2-53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AF2-54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AF2-55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AF2-56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AF2-57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AF2-58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#1、150mL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AF2-59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漏斗</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#1、60mm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AF2-60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Y形管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#1、玻璃材质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AF2-61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滴管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#1、产品为90mm的直形滴管，上部套有吸液用的橡皮头。</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AF2-62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离心管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AF2-63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U形管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eastAsia="zh-CN"/>
              </w:rPr>
              <w:suppressLineNumbers w:val="0"/>
            </w:pPr>
            <w:r>
              <w:rPr>
                <w:rFonts w:hint="eastAsia" w:ascii="宋体" w:hAnsi="宋体" w:eastAsia="宋体" w:cs="宋体"/>
                <w:i w:val="0"/>
                <w:iCs w:val="0"/>
                <w:color w:val="auto"/>
                <w:sz w:val="21"/>
                <w:szCs w:val="21"/>
                <w:u w:val="none"/>
                <w:lang w:val="en-US" w:eastAsia="zh-CN" w:bidi="ar"/>
              </w:rPr>
              <w:t xml:space="preserve">#1、</w:t>
            </w:r>
            <w:r>
              <w:rPr>
                <w:rFonts w:ascii="Arial" w:hAnsi="Arial" w:eastAsia="宋体" w:cs="Arial"/>
                <w:i w:val="0"/>
                <w:iCs w:val="0"/>
                <w:caps w:val="0"/>
                <w:color w:val="auto"/>
                <w:spacing w:val="0"/>
                <w:sz w:val="21"/>
                <w:szCs w:val="21"/>
                <w:shd w:val="clear" w:color="auto" w:fill="ffffff"/>
              </w:rPr>
              <w:t xml:space="preserve">冷弯成形</w:t>
            </w:r>
            <w:r>
              <w:rPr>
                <w:rFonts w:hint="eastAsia" w:ascii="Arial" w:hAnsi="Arial" w:cs="Arial"/>
                <w:i w:val="0"/>
                <w:iCs w:val="0"/>
                <w:caps w:val="0"/>
                <w:color w:val="auto"/>
                <w:spacing w:val="0"/>
                <w:sz w:val="21"/>
                <w:szCs w:val="21"/>
                <w:shd w:val="clear" w:color="auto" w:fill="ffffff"/>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AF2-64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#1、125mL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AF2-65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AF2-66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AF2-67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AF2-68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AF2-69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#1、茶，30mL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AF2-70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#1、茶，60mL</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AF2-71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#1、本品由木料或竹子制作，由长臂和短臂及弹簧组成。试管夹所附毡块应粘接牢固，不得脱落。试管夹弹簧应有足够弹性，并作防锈处理。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把</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AF2-72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单层扁平上皮装片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#1．标本在80x和200x学生显微镜下观察单层扁平上皮的结构。能看清由一些边缘不规则而呈锯齿状的扁平细胞组成的单层上皮，胞核在细胞中央，呈扁圆形。标本</w:t>
            </w:r>
            <w:r>
              <w:rPr>
                <w:rFonts w:hint="eastAsia" w:ascii="宋体" w:hAnsi="宋体" w:cs="宋体"/>
                <w:i w:val="0"/>
                <w:iCs w:val="0"/>
                <w:color w:val="auto"/>
                <w:sz w:val="21"/>
                <w:szCs w:val="21"/>
                <w:u w:val="none"/>
                <w:lang w:val="en-US" w:eastAsia="zh-CN" w:bidi="ar"/>
              </w:rPr>
              <w:t xml:space="preserve">取材</w:t>
            </w:r>
            <w:r>
              <w:rPr>
                <w:rFonts w:hint="eastAsia" w:ascii="宋体" w:hAnsi="宋体" w:eastAsia="宋体" w:cs="宋体"/>
                <w:i w:val="0"/>
                <w:iCs w:val="0"/>
                <w:color w:val="auto"/>
                <w:sz w:val="21"/>
                <w:szCs w:val="21"/>
                <w:u w:val="none"/>
                <w:lang w:val="en-US" w:eastAsia="zh-CN" w:bidi="ar"/>
              </w:rPr>
              <w:t xml:space="preserve">于动物的肠系膜等。平铺袋片，材料面积不小于2X2mm，四周剪切整齐。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标本为硝酸银法处理，要求细胞界限清晰，胞核隐约可见，并允许有两层细胞。标本上不应有硝酸银的沉淀物。细胞界限也不应有断续现象。</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AF2-73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水止皮管夹</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#1、本品供生物实验夹持乳胶管用。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AF2-74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#1、供生物实验实验用。本品用于化学实验时隔热。石棉膏表面平整、牢固、均匀，无划痕，无粉尘脱落。</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AF2-75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#1、供生物实验实验用。本产品每组由大、中、小三把药匙组成。药匙材质：塑料</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产品制作应光滑、平整、无</w:t>
            </w:r>
            <w:r>
              <w:rPr>
                <w:rFonts w:hint="eastAsia" w:ascii="宋体" w:hAnsi="宋体" w:cs="宋体"/>
                <w:i w:val="0"/>
                <w:iCs w:val="0"/>
                <w:color w:val="auto"/>
                <w:sz w:val="21"/>
                <w:szCs w:val="21"/>
                <w:u w:val="none"/>
                <w:lang w:val="en-US" w:eastAsia="zh-CN" w:bidi="ar"/>
              </w:rPr>
              <w:t xml:space="preserve">毛刺</w:t>
            </w:r>
            <w:r>
              <w:rPr>
                <w:rFonts w:hint="eastAsia" w:ascii="宋体" w:hAnsi="宋体" w:eastAsia="宋体" w:cs="宋体"/>
                <w:i w:val="0"/>
                <w:iCs w:val="0"/>
                <w:color w:val="auto"/>
                <w:sz w:val="21"/>
                <w:szCs w:val="21"/>
                <w:u w:val="none"/>
                <w:lang w:val="en-US" w:eastAsia="zh-CN" w:bidi="ar"/>
              </w:rPr>
              <w:t xml:space="preserve">、无缺陷。</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把</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AF2-76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玻璃管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#1、φ5mm～φ6mm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AF2-77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#1、φ3mm～φ4mm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千克</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AF2-78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软胶塞</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#1、供中学生物实验用。型号规格：000号、00号、0号、1号等型号。本胶塞由天然橡胶、合成橡胶和多种辅料混炼硫化而成。适用酸碱度</w:t>
            </w:r>
            <w:r>
              <w:rPr>
                <w:rFonts w:hint="eastAsia" w:ascii="宋体" w:hAnsi="宋体" w:cs="宋体"/>
                <w:i w:val="0"/>
                <w:iCs w:val="0"/>
                <w:color w:val="auto"/>
                <w:sz w:val="21"/>
                <w:szCs w:val="21"/>
                <w:u w:val="none"/>
                <w:lang w:val="en-US" w:eastAsia="zh-CN" w:bidi="ar"/>
              </w:rPr>
              <w:t xml:space="preserve">PH</w:t>
            </w:r>
            <w:r>
              <w:rPr>
                <w:rFonts w:hint="eastAsia" w:ascii="宋体" w:hAnsi="宋体" w:eastAsia="宋体" w:cs="宋体"/>
                <w:i w:val="0"/>
                <w:iCs w:val="0"/>
                <w:color w:val="auto"/>
                <w:sz w:val="21"/>
                <w:szCs w:val="21"/>
                <w:u w:val="none"/>
                <w:lang w:val="en-US" w:eastAsia="zh-CN" w:bidi="ar"/>
              </w:rPr>
              <w:t xml:space="preserve">2～10。胶塞表面光洁、白色微黄、无明显缺陷。</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千克</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AF2-79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橡胶管</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#1、产品用优质乳胶制造。要求无砂眼，有弹性，厚薄均匀。</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AF2-80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培养皿</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#1、60mm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AF2-81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培养皿</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#1、100mm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AF2-82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研钵</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#1、瓷，60mm</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AF2-83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棉纱缸</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#1、由不锈钢制成，作防锈处理。缸体应光滑、平整、无缺陷。</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AF2-84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记数载玻片(计数板)</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#1、质量符合</w:t>
            </w:r>
            <w:r>
              <w:rPr>
                <w:rFonts w:hint="eastAsia" w:ascii="宋体" w:hAnsi="宋体" w:cs="宋体"/>
                <w:i w:val="0"/>
                <w:iCs w:val="0"/>
                <w:strike w:val="0"/>
                <w:color w:val="auto"/>
                <w:sz w:val="21"/>
                <w:szCs w:val="21"/>
                <w:u w:val="none"/>
                <w:lang w:val="en-US" w:eastAsia="zh-CN" w:bidi="ar"/>
              </w:rPr>
              <w:t xml:space="preserve">教学实验</w:t>
            </w:r>
            <w:r>
              <w:rPr>
                <w:rFonts w:hint="eastAsia" w:ascii="宋体" w:hAnsi="宋体" w:eastAsia="宋体" w:cs="宋体"/>
                <w:i w:val="0"/>
                <w:iCs w:val="0"/>
                <w:color w:val="auto"/>
                <w:sz w:val="21"/>
                <w:szCs w:val="21"/>
                <w:u w:val="none"/>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AF2-</w:t>
            </w:r>
            <w:r>
              <w:rPr>
                <w:rFonts w:hint="eastAsia" w:ascii="宋体" w:hAnsi="宋体" w:cs="宋体"/>
                <w:i w:val="0"/>
                <w:iCs w:val="0"/>
                <w:color w:val="auto"/>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生物实验材料</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#1、双面刀片、消毒棉签、牙签、纱布、脱脂棉、镜头纸、吸水纸、凡士林、透明胶带、干酵母粉、坐标纸、碘酒、洋红、大豆、玉米、培养皿等</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AF2-</w:t>
            </w:r>
            <w:r>
              <w:rPr>
                <w:rFonts w:hint="eastAsia" w:ascii="宋体" w:hAnsi="宋体" w:cs="宋体"/>
                <w:i w:val="0"/>
                <w:iCs w:val="0"/>
                <w:color w:val="auto"/>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载玻片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#1、玻璃制。通过计量认证。0.1mm 1/400mm²。产品执行JB/T8230.3</w:t>
            </w:r>
            <w:r>
              <w:rPr>
                <w:rFonts w:hint="eastAsia" w:ascii="宋体" w:hAnsi="宋体" w:cs="宋体"/>
                <w:i w:val="0"/>
                <w:iCs w:val="0"/>
                <w:color w:val="auto"/>
                <w:sz w:val="21"/>
                <w:szCs w:val="21"/>
                <w:u w:val="none"/>
                <w:lang w:val="en-US" w:eastAsia="zh-CN" w:bidi="ar"/>
              </w:rPr>
              <w:t xml:space="preserve">-1997</w:t>
            </w:r>
            <w:r>
              <w:rPr>
                <w:rFonts w:hint="eastAsia" w:ascii="宋体" w:hAnsi="宋体" w:eastAsia="宋体" w:cs="宋体"/>
                <w:i w:val="0"/>
                <w:iCs w:val="0"/>
                <w:color w:val="auto"/>
                <w:sz w:val="21"/>
                <w:szCs w:val="21"/>
                <w:u w:val="none"/>
                <w:lang w:val="en-US" w:eastAsia="zh-CN" w:bidi="ar"/>
              </w:rPr>
              <w:t xml:space="preserve">《载玻片》的标准。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AF2-</w:t>
            </w:r>
            <w:r>
              <w:rPr>
                <w:rFonts w:hint="eastAsia" w:ascii="宋体" w:hAnsi="宋体" w:cs="宋体"/>
                <w:i w:val="0"/>
                <w:iCs w:val="0"/>
                <w:color w:val="auto"/>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盖玻片</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#1、玻璃制。通过计量认证。0.1mm 1/400mm²。产品执行JB/T8230.3</w:t>
            </w:r>
            <w:r>
              <w:rPr>
                <w:rFonts w:hint="eastAsia" w:ascii="宋体" w:hAnsi="宋体" w:cs="宋体"/>
                <w:i w:val="0"/>
                <w:iCs w:val="0"/>
                <w:color w:val="auto"/>
                <w:sz w:val="21"/>
                <w:szCs w:val="21"/>
                <w:u w:val="none"/>
                <w:lang w:val="en-US" w:eastAsia="zh-CN" w:bidi="ar"/>
              </w:rPr>
              <w:t xml:space="preserve">-1997</w:t>
            </w:r>
            <w:r>
              <w:rPr>
                <w:rFonts w:hint="eastAsia" w:ascii="宋体" w:hAnsi="宋体" w:eastAsia="宋体" w:cs="宋体"/>
                <w:i w:val="0"/>
                <w:iCs w:val="0"/>
                <w:color w:val="auto"/>
                <w:sz w:val="21"/>
                <w:szCs w:val="21"/>
                <w:u w:val="none"/>
                <w:lang w:val="en-US" w:eastAsia="zh-CN" w:bidi="ar"/>
              </w:rPr>
              <w:t xml:space="preserve">《载玻片》的标准。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AF2-</w:t>
            </w:r>
            <w:r>
              <w:rPr>
                <w:rFonts w:hint="eastAsia" w:ascii="宋体" w:hAnsi="宋体" w:cs="宋体"/>
                <w:i w:val="0"/>
                <w:iCs w:val="0"/>
                <w:color w:val="auto"/>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标记笔</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#1、规格不小于14.5cm,笔尖粗细：5mm×2mm,笔头式样：斜头。</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AF2-</w:t>
            </w:r>
            <w:r>
              <w:rPr>
                <w:rFonts w:hint="eastAsia" w:ascii="宋体" w:hAnsi="宋体" w:cs="宋体"/>
                <w:i w:val="0"/>
                <w:iCs w:val="0"/>
                <w:color w:val="auto"/>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生理盐水</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#1、规格:医用，250ml /瓶，0.9%氯化钠溶液</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AF2-</w:t>
            </w:r>
            <w:r>
              <w:rPr>
                <w:rFonts w:hint="eastAsia" w:ascii="宋体" w:hAnsi="宋体" w:cs="宋体"/>
                <w:i w:val="0"/>
                <w:iCs w:val="0"/>
                <w:color w:val="auto"/>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砾石</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#1、样品</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AF2-</w:t>
            </w:r>
            <w:r>
              <w:rPr>
                <w:rFonts w:hint="eastAsia" w:ascii="宋体" w:hAnsi="宋体" w:cs="宋体"/>
                <w:i w:val="0"/>
                <w:iCs w:val="0"/>
                <w:color w:val="auto"/>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珍珠岩</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#1、样品</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千克</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AF2-</w:t>
            </w:r>
            <w:r>
              <w:rPr>
                <w:rFonts w:hint="eastAsia" w:ascii="宋体" w:hAnsi="宋体" w:cs="宋体"/>
                <w:i w:val="0"/>
                <w:iCs w:val="0"/>
                <w:color w:val="auto"/>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ABO血型实验盒</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#1．本套模型由血型演示板4个，基因演示板18块组成。用于讲授人的血型是由基因决定的。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AF2-</w:t>
            </w:r>
            <w:r>
              <w:rPr>
                <w:rFonts w:hint="eastAsia" w:ascii="宋体" w:hAnsi="宋体" w:cs="宋体"/>
                <w:i w:val="0"/>
                <w:iCs w:val="0"/>
                <w:color w:val="auto"/>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组织培养基试剂盒</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#1、由琼脂、干酵母粉、生长素、培养皿、复合维生素、食盐、蔗糖、葡萄糖、氢氧化钠、等组成</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AF2-</w:t>
            </w:r>
            <w:r>
              <w:rPr>
                <w:rFonts w:hint="eastAsia" w:ascii="宋体" w:hAnsi="宋体" w:cs="宋体"/>
                <w:i w:val="0"/>
                <w:iCs w:val="0"/>
                <w:color w:val="auto"/>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昆虫针</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#1、由优质不锈钢丝制成。</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AF2-</w:t>
            </w:r>
            <w:r>
              <w:rPr>
                <w:rFonts w:hint="eastAsia" w:ascii="宋体" w:hAnsi="宋体" w:cs="宋体"/>
                <w:i w:val="0"/>
                <w:iCs w:val="0"/>
                <w:color w:val="auto"/>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昆虫盒</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盒体、盒盖、凸透镜组成。盒体用透明塑料一次性注塑而成，底部有方格。盒体喇叭状。放大倍数3X。所配塑件表面平整、光滑、无气泡。配合适当、提取方便。镜片表面无气泡、烧粉、透明度好，放大倍数误差率为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AF2-</w:t>
            </w:r>
            <w:r>
              <w:rPr>
                <w:rFonts w:hint="eastAsia" w:ascii="宋体" w:hAnsi="宋体" w:cs="宋体"/>
                <w:i w:val="0"/>
                <w:iCs w:val="0"/>
                <w:color w:val="auto"/>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饲养笼</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#1.小学科学课分组饲养小动物用。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AF2-</w:t>
            </w:r>
            <w:r>
              <w:rPr>
                <w:rFonts w:hint="eastAsia" w:ascii="宋体" w:hAnsi="宋体" w:cs="宋体"/>
                <w:i w:val="0"/>
                <w:iCs w:val="0"/>
                <w:color w:val="auto"/>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鱼缸</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#1．大号</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AF2-</w:t>
            </w:r>
            <w:r>
              <w:rPr>
                <w:rFonts w:hint="eastAsia" w:ascii="宋体" w:hAnsi="宋体" w:cs="宋体"/>
                <w:i w:val="0"/>
                <w:iCs w:val="0"/>
                <w:color w:val="auto"/>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鱼缸</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#1．小号</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AF2-</w:t>
            </w:r>
            <w:r>
              <w:rPr>
                <w:rFonts w:hint="eastAsia" w:ascii="宋体" w:hAnsi="宋体" w:cs="宋体"/>
                <w:i w:val="0"/>
                <w:iCs w:val="0"/>
                <w:color w:val="auto"/>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花盆</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#1．常规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AF2-</w:t>
            </w:r>
            <w:r>
              <w:rPr>
                <w:rFonts w:hint="eastAsia" w:ascii="宋体" w:hAnsi="宋体" w:cs="宋体"/>
                <w:i w:val="0"/>
                <w:iCs w:val="0"/>
                <w:color w:val="auto"/>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展翅板</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展翅板的两板面用木材制成，木材应经过脱脂干燥处理，表面平滑、无节疤、无裂纹、无毛刺。并涂清漆，漆面光亮。两板呈“V”形，一块固定，一块可滑动。滑动板滑动应灵活无阻滞，在任一位置可用蝶形螺母固定。</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AF2-1</w:t>
            </w:r>
            <w:r>
              <w:rPr>
                <w:rFonts w:hint="eastAsia" w:ascii="宋体" w:hAnsi="宋体" w:cs="宋体"/>
                <w:i w:val="0"/>
                <w:iCs w:val="0"/>
                <w:color w:val="auto"/>
                <w:sz w:val="21"/>
                <w:szCs w:val="21"/>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昆虫网(捕虫网)</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#1．网周围用直径φ4~5的镀锌铁丝制成直径φ200mm的圈。长不小于30cm，不得脱线和洞眼。</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把</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AF2-1</w:t>
            </w:r>
            <w:r>
              <w:rPr>
                <w:rFonts w:hint="eastAsia" w:ascii="宋体" w:hAnsi="宋体" w:cs="宋体"/>
                <w:i w:val="0"/>
                <w:iCs w:val="0"/>
                <w:color w:val="auto"/>
                <w:sz w:val="21"/>
                <w:szCs w:val="21"/>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枝剪</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#1．刀体长200mm呈“V”形，刀口弧形，靠柄端加反向加强筋。剪刀应采用优质钢制成。刀柄后端有合口皮扣。</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把</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AF2-1</w:t>
            </w:r>
            <w:r>
              <w:rPr>
                <w:rFonts w:hint="eastAsia" w:ascii="宋体" w:hAnsi="宋体" w:cs="宋体"/>
                <w:i w:val="0"/>
                <w:iCs w:val="0"/>
                <w:color w:val="auto"/>
                <w:sz w:val="21"/>
                <w:szCs w:val="21"/>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水网</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#1．网周围用直径φ4~5的镀锌铁丝制成直径φ200mm的圈。网袋用尼龙网制成，长不小于30cm.不得脱线和洞眼。</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把</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AF2-1</w:t>
            </w:r>
            <w:r>
              <w:rPr>
                <w:rFonts w:hint="eastAsia" w:ascii="宋体" w:hAnsi="宋体" w:cs="宋体"/>
                <w:i w:val="0"/>
                <w:iCs w:val="0"/>
                <w:color w:val="auto"/>
                <w:sz w:val="21"/>
                <w:szCs w:val="21"/>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橡皮锤</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#1．长18cm,类型:圆头锤 ,垂头材质:橡胶, 柄部材料:铁制,膝跳反射用。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把</w:t>
            </w:r>
            <w:r/>
          </w:p>
        </w:tc>
      </w:tr>
      <w:tr>
        <w:trPr>
          <w:trHeight w:val="29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AF2-</w:t>
            </w:r>
            <w:r>
              <w:rPr>
                <w:rFonts w:hint="eastAsia" w:ascii="宋体" w:hAnsi="宋体" w:cs="宋体"/>
                <w:i w:val="0"/>
                <w:iCs w:val="0"/>
                <w:color w:val="auto"/>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眼球解剖模型</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产品为放大六倍的成人眼球模型，装置于支架上。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 通过眼球前后极做正中水平切面，示眼球壁三层被膜，眼球内晶状体、玻璃体和虹膜（均可拆下）。由外向内三层被膜部分做成梯形切面，并示全部结构。</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 眼球壁外部显示：眼球、角膜、巩膜、虹膜、瞳孔、六块眼肌的断端、视神经、涡静脉、睫状后长动脉（虹膜动脉）、睫状后短动脉（脉络膜动脉）。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 眼球壁剖面及内部主要显示：外膜（前部1/6的角膜及后部5/6的巩膜）、中膜（虹膜、睫状体和脉络膜）、内膜（视网膜及其后部的视神经盘、黄斑及视网膜血管、晶状体及玻璃体）。</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 各部的肌肉、膜壁、血管、神经等的形态、位置、比例和颜色等均应正确自然。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 模型采用硬塑或混合树脂制作，不得采用软塑料。</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AF2-1</w:t>
            </w:r>
            <w:r>
              <w:rPr>
                <w:rFonts w:hint="eastAsia" w:ascii="宋体" w:hAnsi="宋体" w:cs="宋体"/>
                <w:i w:val="0"/>
                <w:iCs w:val="0"/>
                <w:color w:val="auto"/>
                <w:sz w:val="21"/>
                <w:szCs w:val="21"/>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#1、白色全棉。 型号：适合170cm身高人员使用。                                                                                     </w:t>
            </w:r>
            <w:r>
              <w:rPr>
                <w:rFonts w:hint="eastAsia" w:ascii="宋体" w:hAnsi="宋体" w:eastAsia="宋体" w:cs="宋体"/>
                <w:i w:val="0"/>
                <w:iCs w:val="0"/>
                <w:color w:val="auto"/>
                <w:sz w:val="21"/>
                <w:szCs w:val="21"/>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AF2-1</w:t>
            </w:r>
            <w:r>
              <w:rPr>
                <w:rFonts w:hint="eastAsia" w:ascii="宋体" w:hAnsi="宋体" w:cs="宋体"/>
                <w:i w:val="0"/>
                <w:iCs w:val="0"/>
                <w:color w:val="auto"/>
                <w:sz w:val="21"/>
                <w:szCs w:val="21"/>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具有遮挡、过滤各类强光及射线辐射的功能，并具有较好的耐腐蚀性能。眼镜四周有防护罩。侧面能够完全遮挡。</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AF2-1</w:t>
            </w:r>
            <w:r>
              <w:rPr>
                <w:rFonts w:hint="eastAsia" w:ascii="宋体" w:hAnsi="宋体" w:cs="宋体"/>
                <w:i w:val="0"/>
                <w:iCs w:val="0"/>
                <w:color w:val="auto"/>
                <w:sz w:val="21"/>
                <w:szCs w:val="21"/>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乳胶手套</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#1.产品为外覆PVC材料，内为棉质材料制成。表面应具有较好的耐酸、耐碱及其他化学试剂腐蚀的性能。柔韧性好，穿戴后便于进行各类实验操作。长度为25cm左右。</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副</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AF2-1</w:t>
            </w:r>
            <w:r>
              <w:rPr>
                <w:rFonts w:hint="eastAsia" w:ascii="宋体" w:hAnsi="宋体" w:cs="宋体"/>
                <w:i w:val="0"/>
                <w:iCs w:val="0"/>
                <w:color w:val="auto"/>
                <w:sz w:val="21"/>
                <w:szCs w:val="21"/>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急救包</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#1、急救包内应配备的药品及器材：绿药膏1瓶；烧伤药膏1瓶；苏打粉100g；硼酸100g；创可贴10条；紫药水50ml；红药水50ml；碘酒50ml；3％双氧水100ml；胶布1卷；绷带1卷；药棉1包；手术剪1把；镊子1把</w:t>
            </w:r>
            <w:r>
              <w:rPr>
                <w:rFonts w:hint="eastAsia" w:ascii="宋体" w:hAnsi="宋体" w:cs="宋体"/>
                <w:i w:val="0"/>
                <w:iCs w:val="0"/>
                <w:color w:val="auto"/>
                <w:sz w:val="21"/>
                <w:szCs w:val="21"/>
                <w:u w:val="none"/>
                <w:lang w:val="en-US" w:eastAsia="zh-CN" w:bidi="ar"/>
              </w:rPr>
              <w:t xml:space="preserve">等。</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bl>
    <w:p>
      <w:pPr>
        <w:jc w:val="left"/>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r>
      <w:r/>
    </w:p>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r>
      <w:r/>
    </w:p>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ectPr>
          <w:footnotePr/>
          <w:endnotePr/>
          <w:type w:val="nextPage"/>
          <w:pgSz w:w="11906" w:h="16838" w:orient="portrait"/>
          <w:pgMar w:top="1440" w:right="1080" w:bottom="1440" w:left="1080" w:header="851" w:footer="992" w:gutter="0"/>
          <w:cols w:num="1" w:sep="0" w:space="425" w:equalWidth="1"/>
          <w:docGrid w:linePitch="360"/>
        </w:sectPr>
        <w:suppressLineNumbers w:val="0"/>
      </w:pPr>
      <w:r>
        <w:rPr>
          <w:rFonts w:hint="eastAsia" w:ascii="宋体" w:hAnsi="宋体" w:eastAsia="宋体" w:cs="宋体"/>
          <w:b/>
          <w:bCs/>
          <w:i w:val="0"/>
          <w:iCs w:val="0"/>
          <w:color w:val="auto"/>
          <w:sz w:val="21"/>
          <w:szCs w:val="21"/>
          <w:u w:val="none"/>
          <w:lang w:val="en-US" w:eastAsia="zh-CN" w:bidi="ar"/>
        </w:rPr>
      </w:r>
      <w:r/>
    </w:p>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r>
      <w:r/>
    </w:p>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r>
      <w:r/>
    </w:p>
    <w:tbl>
      <w:tblPr>
        <w:tblStyle w:val="727"/>
        <w:tblW w:w="1037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73"/>
        <w:gridCol w:w="1185"/>
        <w:gridCol w:w="6765"/>
        <w:gridCol w:w="720"/>
        <w:gridCol w:w="735"/>
      </w:tblGrid>
      <w:tr>
        <w:trPr>
          <w:trHeight w:val="567"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1037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AG-初中物理仪器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2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教师演示仪器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AG1-01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光的反射实验仪</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#1.由钣金主体、入射光调节装置、刻度盘（入射角和反射角测量装置）、转臂、底座、水雾发生器、双色激光光源、反光镜片、烧杯、围挡等组成；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#2.钣金主体尺寸规格：430*345*102mm（±5mm）；精密剪板折弯工艺；表面处理工艺：黑色烤漆，哑光处理；功能描述：为整个演示器提供牢固稳定的底座，和安装平台。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#3.刻度盘，尺寸规格：340*200*5mm（±5mm）；材质工艺：橘黄色亚克力，雕刻机一体成型；表面处理工艺：双色精密丝印；功能描述：为入射角，反射角和法线提供角度标准，直接测量入射角和反射角。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667"/>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AG1-02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光具盘</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#1.由光具盘主体（含圆形光盘）、五线激光源、光学零件（梯形玻砖、等腰直角棱镜、半圆柱透镜、小双凹柱透镜、小双凸柱透镜、大双凸柱透镜、平面镜、凹凸柱面镜、正三棱镜）组成。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#2.光具盘主体：外形尺寸772*470（±5mm）；上下为铝型材结构，具有良好的抗拉</w:t>
            </w:r>
            <w:r>
              <w:rPr>
                <w:rFonts w:hint="eastAsia" w:ascii="宋体" w:hAnsi="宋体" w:eastAsia="宋体" w:cs="宋体"/>
                <w:i w:val="0"/>
                <w:iCs w:val="0"/>
                <w:color w:val="auto"/>
                <w:sz w:val="21"/>
                <w:szCs w:val="21"/>
                <w:u w:val="none"/>
                <w:lang w:val="en-US" w:eastAsia="zh-CN" w:bidi="ar"/>
              </w:rPr>
              <w:t xml:space="preserve">强度，表面黑色氧化细喷砂处理。左右为ABS塑料精密注塑成型边框；圆形光盘直径260mm，盘面分四个象限，以一条直径为始边，分别刻有 0°～90°刻度。功能描述：整体为磁吸附式结构，光学零件及五线激光光源可以吸附在矩形光盘上进行光学实验演示。五线激光源：规格：尺寸≥133*89*30mm，工作电压DC3V；主要材质：ABS工程塑料、铜；工艺：塑料注塑成型；功能描述：激光光学光源，磁吸式，内置电池可充电，提供1～5线平行光源（中间绿色光源），配合光学零件可直接或光具盘主体或其他磁性材料上完成多种光路的演示实验。</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光学零件：产品组成：梯形玻砖、等腰直角棱镜、半圆柱透镜、小双凹柱透镜、小双凸柱透镜、大双凸柱透镜、平面镜、凹凸柱面镜、正三棱镜。规格：统一厚度20mm；主要材质：PMMA；工艺：精加工、抛光；功能描述：磁吸式，配合激光光源可直接或吸附在光具盘主体或其他磁性材料上进行光线折射等相应光学实验。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#4.能够完成光的直线传播；光的反射；凸透镜的会聚作用；凹透镜的发散作用；凹面镜的会聚作用；凸面镜的发散作用；光的折射定律；测量玻璃砖的折射率；光的全反射等教学演示。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07"/>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AG1-03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眼球仪</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#1.由眼球仪主体（含眼球剖面图）、五线激光光源、光学零件（正常眼球玻璃、远视眼球玻璃、近视眼球玻璃、近视镜玻璃、远视镜玻璃）组成。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#2.眼球仪主体：外形尺寸772*</w:t>
            </w:r>
            <w:r>
              <w:rPr>
                <w:rFonts w:hint="eastAsia" w:ascii="宋体" w:hAnsi="宋体" w:eastAsia="宋体" w:cs="宋体"/>
                <w:i w:val="0"/>
                <w:iCs w:val="0"/>
                <w:color w:val="auto"/>
                <w:sz w:val="21"/>
                <w:szCs w:val="21"/>
                <w:u w:val="none"/>
                <w:lang w:val="en-US" w:eastAsia="zh-CN" w:bidi="ar"/>
              </w:rPr>
              <w:t xml:space="preserve">470（±5mm）；上下为铝型材结构，具有良好的抗拉强度，表面黑色氧化细喷砂处理。左右为ABS塑料精密注塑成型边框；功能描述：整体为磁吸附式结构，配有眼球剖面图，光学零件及五线激光光源可以吸附在矩形光盘上演示眼睛的工作原理及视力矫正实验。五线激光光源：规格：尺寸≥133*89*30mm，工作电压DC3V；主要材质：ABS工程塑料、铜；工艺：塑料注塑成型；功能描述：激光光学光源，磁吸式，内置电池可充电，提供1～5线平行光源（中间绿色光源），配合光学零件可直接或眼球仪主体或其他磁性材料上完成多种光路的演示实验。</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光学零件：产品组成：正常眼球玻璃、远视眼球玻璃、近视眼球玻璃、近视镜玻璃、远视镜玻璃。规格：统一厚度20mm；主要材质：PMMA；工艺：精加工、抛光；功能描述：磁吸式，配合激光光源可直接或吸附在眼球仪主体或其他磁性材料上进行光线折射等相应光学实验。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35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AG1-04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光的传播、反射、折射实验器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#1.由演示板、红色激光光源、绿色激光光源、光学配件（凸凹面镜、半圆玻璃砖、双凸透镜、双凹透镜、梯形玻璃砖、等边三角形玻璃砖、直角等腰三角玻璃砖）、平面镜和漫反射镜、水箱圆盘等组成。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#2.演示板：外形尺寸666*470mm（±5mm）；上下为铝型材结构，具有良好的抗拉强度，表面黑色氧化细喷砂处理,左右为ABS塑料精密注塑成型边框；表盘外径300mm，盘面分四个象限，以一条直径为始边，分别刻有 0°～90°刻度：功能描述：整体为磁吸附式结构，可吸附激光光源、水箱圆盘、光学配件等进行相应光学实验。</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光学零件：产品组成：凸凹面镜、半圆玻璃砖、双凸透镜、双凹透镜、梯形玻璃砖、等边三角形玻璃砖、直角等腰三角玻璃砖。规格：统一厚度20mm；主要材质：PMMA；工艺：精加工、抛光；功能描述：磁吸式，配合激光光源可直接或吸附在本演示板或其他磁性材料上进行光线折射等相应光学实验。</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#4.水箱圆盘：规格：φ250mm*34mm（±5mm）；主要材质：PMMA；功能描述：磁吸式，可放入水等液体进行不同物质界面的折射实验。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66"/>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AG1-05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箔片验电器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底座、外壳、圆球、导电杆、绝缘子、箔片、中位卡、接线柱等组成。观察面采用透明材料，可直接观察到箔片的变化。检验物体是否带电；检验物体带的电是正或负；检验物体的绝缘性；感应起电实验；配合其他仪器进行静电学相应实验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AG1-06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指针验电器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外壳、圆盘、导电杆、绝缘子、指针、指针架、接线柱等组成。观察面采用透明材料，可直接观察到指针的变化。能够完成的教学演示：检验物体是否带电；检验物体带的电是正或负；检验物体的绝缘性；配合其他仪器进行静电学相应实验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AG1-07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奥斯特实验演示器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#1.塑料底座、开关、通电杆、翼形磁针组件、接线柱等组成。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#2.塑料底座：尺寸规格：436*274*49mm（±5mm）；材质工艺：ABS塑料精密注塑成型；功能描述：为整个演示器提供牢固稳定的底座，内嵌垫片，使得底座具备防滑耐磨的特点。</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#3.通电杆：尺寸规格：338*184*8mm（±5mm），材质工艺：高碳45#钢。表面处理：通体镀装饰铬；功能描述：作为电生磁的主要零件和载体，通电后周围产生磁场。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665"/>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AG1-08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演示电磁继电器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#1.由电磁线圈、铁芯、常开触点、常闭触点、弹簧、蜂鸣器、指示灯等组成。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外形尺寸666*470mm（±5mm）；上下为铝型材结构,具有良好的抗拉强度，表面黑色氧化细喷砂处理。左右为ABS塑料精密注塑成型边框；仪器面板表面印有原理电路图，导线采用暗线布置，内部接线与面板上的电路图一致，红绿色指示灯分别指示常开和常闭状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11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AG1-09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电流磁场演示器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#1.由亚克力底座、螺线管、方形线圈、圆线圈等组成。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亚克力底座：尺寸规格：250*250*55mm（±5mm），厚度5mm，材质：透明亚克力，良好耐候性；功能描述：良好的载体功能，为螺线管、单匝线圈、方形线圈提供良好牢固的平台；表面配有双色丝印的使用说明，美观简洁，方便直接进行实验操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#3.螺线管：尺寸规格：直径∅60mm，材质：透明PC材质，精密注塑成型；功能描述：为漆包线提供绕线载体。</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AG1-10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磁场对电流作用实验器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#1.由塑料底座、U型磁场器、铜管支架、黄铜管、接线柱等组成。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#2.塑料底座：尺寸规格：265*170*40mm（±5mm）；材质工艺：ABS塑料精密注塑成型；功能描述：为整个演示器提供牢固稳定的底座，内嵌垫片，使得底座具备防滑耐磨的特点。</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#3.U型磁场器：尺寸规格：100*55*65mm（±5mm）；材质工艺：金属材质，表面双色喷漆；功能描述：为安装磁铁提供平台，中部空间宽敞，便于铜管在其中自由滚动。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AG1-11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手摇交直流发电机</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#1.由定子、转子、集流环、电刷、灯座（带灯泡）、手摇驱动机构、底板等部分组成。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AG1-12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电机原理演示器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#1.由定子、转子线圈、集流环和换向器、电刷、底座等组成。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AG1-13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保险丝作用演示器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#1.由保险丝（1A、2A、3A、5A）、实验导线、多芯导线、灯泡（10W）、灯泡（50W）、电流表、电压表等组成。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外形尺寸666*470mm（±5mm）；上下为铝型材结构，具有良好的抗拉强度，表面黑色氧化细喷砂处理。左右为ABS塑料精密注塑成型边框；仪器面板表面印有原理电路图，配有3路并联电路，实验导线和保险丝位置处可自由更换，进行保险丝作用等相关实验演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AG1-14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演示电流表（磁吸）</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#1.由外壳、表盘、调零旋钮、香蕉插头接线柱等组成。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#2.外形尺寸：339*298*64mm（±5mm）；材质工艺：ABS塑料精密注塑成型；量程：-0.2A～0.6 A/-1A～3 A 双量程，功能描述：2.5级；磁吸式，内嵌磁铁，可调零，可以吸附在黑板，进行演示操作。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154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AG1-15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演示电压表（磁吸）</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#1.由外壳、表盘、调零旋钮、香蕉插头接线柱等组成。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#2.外形尺寸：339*298*64mm（±5mm）；材质工艺：ABS塑料精密注塑成型；量程：-1V～3V/-3V～15 V 双量程；功能描述：2.5级；磁吸式，内嵌磁铁，可调零，可以吸附在黑板，进行演示操作。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AG1-16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演示灵敏电流计（磁吸）</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#1.由外壳、表盘、调零旋钮、香蕉插头接线柱等组成。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#2.外形尺寸：339*298*64mm（±5mm）；材质工艺：ABS塑料精密注塑成型；量程：-300μA～300μA；功能描述：2.5级；磁吸式，内嵌磁铁，可以吸附在黑板，进行演示操作。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AG1-17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演示电表（磁吸）</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#1.由外壳、表盘、调零旋钮、香蕉插头接线柱等组成。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#2.外形尺寸：339*298*64mm（±5mm）；材质工艺：ABS塑料精密注塑成型；功能描述：2.5 级；直流电流：0.5 A、2.5 A；直流电压：2.5 V、10 V，检流：－100 μA～100 μA；磁吸式，内嵌磁铁，可以吸附在黑板，进行演示操作。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2174"/>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AG1-18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数字演示电表（磁吸）</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#1.由外壳、A/D转换集成电路、LED大屏幕、开关、档位按键、功能选择按键等组成。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#2.外形尺寸：339*298*64mm（±5mm）；材质工艺：ABS塑料精密注塑成型；显示方式：超高亮LED发光数码管显示；最大显示：4 1/2位；测量方式：微处理器控制双积分式A/D转换；功能描述：4-1/2 位，双面显</w:t>
            </w:r>
            <w:r>
              <w:rPr>
                <w:rFonts w:hint="eastAsia" w:ascii="宋体" w:hAnsi="宋体" w:eastAsia="宋体" w:cs="宋体"/>
                <w:i w:val="0"/>
                <w:iCs w:val="0"/>
                <w:color w:val="auto"/>
                <w:sz w:val="21"/>
                <w:szCs w:val="21"/>
                <w:u w:val="none"/>
                <w:lang w:val="en-US" w:eastAsia="zh-CN" w:bidi="ar"/>
              </w:rPr>
              <w:t xml:space="preserve">示，同一物理量能自动 转换量程；直流电流：200 μA、2 mA、 20 mA、200 mA、2 A、20 A，不确定度 0.2％；直流电压：2 V、20 V、200 V，不确定度 0.1％；电阻：200 Ω、2 kΩ、 20 kΩ、200 kΩ、2 MΩ、20 MΩ，不确定度 0.2％；交流电压：2 V、20 V、200V、700V，不确定度 0.5％；交流电流：2 mA、20 mA、200 mA、6A，不确定度 1.0％；2 A、20 A 自动过载保护，故障排除自动恢复；交流供电，采用 II 类变压器。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259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AG1-19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电阻定律演示器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#1.由亚克力面板、金属导线、铜螺柱、接线柱、电阻定律演示器支架等组成。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亚克力面板：尺寸规格：1050*185*78mm（±5mm），厚度5mm；材质：黑色亚克力，良好耐候性；功能描述：良好的载体功能，为金属丝、铜螺柱以及接线柱提供良好的安装载体；表面刻度丝印，具有快速准确的测量长度的功能，同时具备较好的绝缘性，提高实验的准确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#3.金属导线：规格：D0.3mm、和D0.5mm；材质：镍铬丝，康铜丝；功能描述：提供倍数性变化的金属丝，配合不同的材料，采用控制变量的实验方法，确保实验的准确性。</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AG1-20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焦耳定律演示器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#1.由透明贮液筒、底座、电阻、数显温度计等组成。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#2.外形尺寸666*470mm（±5mm）；上下为铝型材结构，具有良好的抗拉强度，表面黑色氧化细喷砂处理。左右为ABS塑料精密注塑成型边框；仪器面板表面印有原理电路图，配有</w:t>
            </w:r>
            <w:r>
              <w:rPr>
                <w:rFonts w:hint="eastAsia" w:ascii="宋体" w:hAnsi="宋体" w:cs="宋体"/>
                <w:i w:val="0"/>
                <w:iCs w:val="0"/>
                <w:color w:val="auto"/>
                <w:sz w:val="21"/>
                <w:szCs w:val="21"/>
                <w:u w:val="none"/>
                <w:lang w:val="en-US" w:eastAsia="zh-CN" w:bidi="ar"/>
              </w:rPr>
              <w:t xml:space="preserve">透明</w:t>
            </w:r>
            <w:r>
              <w:rPr>
                <w:rFonts w:hint="eastAsia" w:ascii="宋体" w:hAnsi="宋体" w:eastAsia="宋体" w:cs="宋体"/>
                <w:i w:val="0"/>
                <w:iCs w:val="0"/>
                <w:color w:val="auto"/>
                <w:sz w:val="21"/>
                <w:szCs w:val="21"/>
                <w:u w:val="none"/>
                <w:lang w:val="en-US" w:eastAsia="zh-CN" w:bidi="ar"/>
              </w:rPr>
              <w:t xml:space="preserve">贮液筒（带底座）3个，电阻4个，一次实验可直接完成以下焦耳定律相关演示。能够完成的教学演示：电流热效应；焦耳定律中热量与电阻的关系；焦耳定律中热量与电流的关系；焦耳定律中热量与通电时间的关系。</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767"/>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AG1-21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家庭电路示教板A款</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#1.由电能表（5A）、漏电保护器、闸刀开关、保险丝盒、插座、螺口灯座、螺口灯泡、卡口灯座、卡口灯泡、拉线开关、倒板开关、AC电源插座、电源线等组成。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#2.外形尺寸1072*470mm（±5mm）；上下为铝型材结构，具有良好的抗拉强度，表面黑色氧化细喷砂处理。左右为ABS塑料精密注塑成型边框。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#3.仪器面板表面印有原理电路图，电路图中包含家庭电路中的常</w:t>
            </w:r>
            <w:r>
              <w:rPr>
                <w:rFonts w:hint="eastAsia" w:ascii="宋体" w:hAnsi="宋体" w:cs="宋体"/>
                <w:i w:val="0"/>
                <w:iCs w:val="0"/>
                <w:color w:val="auto"/>
                <w:sz w:val="21"/>
                <w:szCs w:val="21"/>
                <w:u w:val="none"/>
                <w:lang w:val="en-US" w:eastAsia="zh-CN" w:bidi="ar"/>
              </w:rPr>
              <w:t xml:space="preserve">用</w:t>
            </w:r>
            <w:r>
              <w:rPr>
                <w:rFonts w:hint="eastAsia" w:ascii="宋体" w:hAnsi="宋体" w:eastAsia="宋体" w:cs="宋体"/>
                <w:i w:val="0"/>
                <w:iCs w:val="0"/>
                <w:color w:val="auto"/>
                <w:sz w:val="21"/>
                <w:szCs w:val="21"/>
                <w:u w:val="none"/>
                <w:lang w:val="en-US" w:eastAsia="zh-CN" w:bidi="ar"/>
              </w:rPr>
              <w:t xml:space="preserve">电器、常用开关、漏电保护、电能表等。导线采用暗线布置，内部接线与面板上的电路图一致。火线为红色，零线为蓝色，保护地线为黄绿双色。开关电极左面是零线，右面是火线。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#4.能够完成的教学演示：模拟家庭电路演示。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AG1-22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家庭电路示教板B款</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#1.由电能表（5A）、漏电保护器、声光开关、插座、螺口灯座、螺口灯泡、卡口灯座、卡口灯泡、拉线开关、倒板开关、AC电源插座、电源线等组成。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#2.外形尺寸1072*470mm（±5mm）；上下为铝型材结构，具有良好的抗拉强度，表面黑色氧化细喷砂处理。左右为ABS塑料精密注塑成型边框。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#3.仪器面板表面印有原理电路图，电路图中包含家庭电路中的常</w:t>
            </w:r>
            <w:r>
              <w:rPr>
                <w:rFonts w:hint="eastAsia" w:ascii="宋体" w:hAnsi="宋体" w:cs="宋体"/>
                <w:i w:val="0"/>
                <w:iCs w:val="0"/>
                <w:color w:val="auto"/>
                <w:sz w:val="21"/>
                <w:szCs w:val="21"/>
                <w:u w:val="none"/>
                <w:lang w:val="en-US" w:eastAsia="zh-CN" w:bidi="ar"/>
              </w:rPr>
              <w:t xml:space="preserve">用</w:t>
            </w:r>
            <w:r>
              <w:rPr>
                <w:rFonts w:hint="eastAsia" w:ascii="宋体" w:hAnsi="宋体" w:eastAsia="宋体" w:cs="宋体"/>
                <w:i w:val="0"/>
                <w:iCs w:val="0"/>
                <w:color w:val="auto"/>
                <w:sz w:val="21"/>
                <w:szCs w:val="21"/>
                <w:u w:val="none"/>
                <w:lang w:val="en-US" w:eastAsia="zh-CN" w:bidi="ar"/>
              </w:rPr>
              <w:t xml:space="preserve">电器、常用开关、声光开关、漏电保护器、电能表等。导线采用暗线布置，内部接线与面板上的电路图一致。火线为红色，零线为蓝色，保护地线为黄绿双色。开关电极应为左面是零线，右面是火线。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#4.能够完成的教学演示：模拟家庭电路演示（含声光控制灯泡演示）。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30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AG1-23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安全用电示教板</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#1.由示教板、仿真人等组成。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#2.示教板：外形尺寸666*470mm（±5mm）；上下为铝型材结构，具有良好的抗拉强度，表面黑色氧化细喷砂处理。左右为ABS塑料精密注塑成型边框。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#3.仿真人：亚克力材质，自带24颗灯珠，可模拟触电时的电流路线。手脚可吸附在示教板上。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#4.能够完成的教学演示：12 V 供电，可用于模拟演示日常生活中常见的造成触电事故的现象：一手接触火线，经脚和大地触电；一手接触火线，不经脚和大地安全（脚下绝缘）；二手分别接触火线和零线触电（脚站在地面或绝缘）；一手接触漏电（连接火线）的设备（例如电动机），经脚和大地触电；跨步电压触电。</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AG1-24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移动式多功能电源</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#1.产品规格：312×158×127mm（±2mm）。主要材质：增强型阻燃ABS工程塑料；工艺：塑料注塑成型。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箱</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AG1-25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钢制黑板</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#1.≥900mm×600mm，双面。钢制双面黑板，书写面为镀锌冷轧钢板制造，中间为人造板，并与金属板粘结牢固，边框采用铝制材料四周镶边。</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#2.美观、精致、洁美、牢固。无镜面反光，色泽均匀，书写流畅。</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#3.允许用绿白两用黑板代替。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#4.使用普通或无尘粉笔时，应手感流畅、充实，笔迹清晰，经反复</w:t>
            </w:r>
            <w:r>
              <w:rPr>
                <w:rFonts w:hint="eastAsia" w:ascii="宋体" w:hAnsi="宋体" w:cs="宋体"/>
                <w:i w:val="0"/>
                <w:iCs w:val="0"/>
                <w:color w:val="auto"/>
                <w:sz w:val="21"/>
                <w:szCs w:val="21"/>
                <w:u w:val="none"/>
                <w:lang w:val="en-US" w:eastAsia="zh-CN" w:bidi="ar"/>
              </w:rPr>
              <w:t xml:space="preserve">擦拭</w:t>
            </w:r>
            <w:r>
              <w:rPr>
                <w:rFonts w:hint="eastAsia" w:ascii="宋体" w:hAnsi="宋体" w:eastAsia="宋体" w:cs="宋体"/>
                <w:i w:val="0"/>
                <w:iCs w:val="0"/>
                <w:color w:val="auto"/>
                <w:sz w:val="21"/>
                <w:szCs w:val="21"/>
                <w:u w:val="none"/>
                <w:lang w:val="en-US" w:eastAsia="zh-CN" w:bidi="ar"/>
              </w:rPr>
              <w:t xml:space="preserve">无明显遗留粉笔痕迹。</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#5.黑板提手在长边边框中间安装牢靠，挂起或提拿时无明显歪斜。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AG1-26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直联泵</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单相，功率不小于370W，扬程不小于10m，流量每小时不小于1.5m</w:t>
            </w:r>
            <w:r>
              <w:rPr>
                <w:rFonts w:hint="eastAsia" w:ascii="宋体" w:hAnsi="宋体" w:eastAsia="宋体" w:cs="宋体"/>
                <w:i w:val="0"/>
                <w:iCs w:val="0"/>
                <w:color w:val="auto"/>
                <w:sz w:val="21"/>
                <w:szCs w:val="21"/>
                <w:u w:val="none"/>
                <w:vertAlign w:val="superscript"/>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，出水口直径约25mm。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21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AG1-27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旋片式真空泵</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#1、单相</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#2、仪器油箱隔层处理，排气口设置油气分离装置，无喷油，金属外壳，工作电压220V，50Hz；抽气速率1L/S，电机功率120W，极限压力10Pa，加油量200ml，适应环境：-5℃~40℃。采用优质钢材，防锈处理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AG1-28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打气筒</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手持式。打气筒由筒体带打气接头、打气活塞、拉杆、手柄、塑料打气嘴、金属打气嘴等组成。筒体为塑料制，外径35mm，长210mm。拉杆为金属制，表面电镀处理，直径4.4mm。手柄为塑料制，长55mm，与拉杆连接可靠。</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72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AG1-29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抽气盘</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#1．产品由底盘、钟罩、电铃、气阀、垫圈等组成。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#2．底盘为塑料制成，要求表面平整，无气孔、砂眼，外径Φ≥180mm。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#3．钟罩为透明式，外径不小于150mm。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#4．抽气盘的密封性能：极限压强≤6000Pa，极限压强下保持15分钟，腔内压强变化不大于2K Pa。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#5．电铃电源：直流3～6V。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#6．电铃放置于抽气盘内应平稳，工作中无倒覆。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AG1-30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#1．规格：≥680mm×460mm×800mm。不锈钢材料制。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#2．仪器车应分为2层，层间距不小于300mm。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#3．车架用直径不小于Φ19mm、壁厚不小于1mm的不锈钢管制成，高不低于800mm。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#4．车架脚安装有不小于Φ50mm、厚15mm转动灵活的万向轮。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#5．车隔板为不薄于1mm的不锈钢制成，四周安装有约30mm高的挡板。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#6．整车安装好后应载重≥50Kg，应运行平稳，不得变形、摇晃、松动。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辆</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AG1-31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充磁器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#1、主要由螺线管、整流器、电源按钮开关和外壳组成。对中学物理实验室配备的小磁针、磁针进行充磁或消磁。绝缘电阻≥20MΩ。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AG1-32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生物显微镜</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#1．SP-01（640X）。单目直筒，分离式粗微调，目镜：10X、16X，三孔转换器，物镜：4X、10X、40Xs，108mm×118mm塑料平台带切片压片，拨盘光栏，50平凹面反光镜，干燥剂。木箱（塑料手提箱）包装。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94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AG1-3</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透明盛液筒</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#1、外形尺寸：高300mm±5mm，直径100mm±2mm，壁厚≥2mm；口部圆正，底部平整，表面无凸凹平现象；标尺为透明不干胶标尺，毫米单位，黑色字体。材料为透明塑料注塑成型。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AG1-3</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透明水槽(圆形或方形)</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#1、长方形水槽。外形尺寸：≥250mm×180mm×100mm；壁厚≥2mm，四角圆度≤R5mm；材料为透苯塑料注塑成型。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AG1-3</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物理支架</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#1、物理实验室通用仪器，可组装成垂直、平行、吊挂、夹持、放置等多种实验支架。有大小A型座各1个，立杆两支（500mm，Φ12mm ； 700mm，Φ12mm各一支）平行夹1只，垂直夹2只，烧瓶夹1只，万向夹1只，台边夹1只，大铁环1个，圆托盘1个，吊钩4只，吊钩杆1个，绝缘杆1支。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AG1-3</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多功能实验支架</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#1、物理实验室通用仪器，可组装成垂直、平行、吊挂、夹持、放置等多种实验支架。有大小A型座各1个，立杆两支（500mm，Φ12mm ； 700mm，Φ12mm各一支）平行夹1只，垂直夹2只，烧瓶夹1只，万向夹1只，台边夹1只，大铁环1个，圆托盘1个，吊钩4只，吊钩杆1个，绝缘杆1支，滴定夹1个，漏斗架1个。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AG1-3</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升降台</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上面板、下面板、旋转轴、手轮等组成。升降范围不小于150mm，载重量不小于10kg。工作台面：上面板150mm×150mm，下底板180mm×180mm。上下面板均采用厚不小于1mm的冷轧板冲压成型，成型厚度约8mm，表面烤黑漆。</w:t>
            </w:r>
            <w:r>
              <w:rPr>
                <w:rFonts w:hint="eastAsia" w:ascii="宋体" w:hAnsi="宋体" w:cs="宋体"/>
                <w:i w:val="0"/>
                <w:iCs w:val="0"/>
                <w:color w:val="auto"/>
                <w:sz w:val="21"/>
                <w:szCs w:val="21"/>
                <w:u w:val="none"/>
                <w:lang w:val="en-US" w:eastAsia="zh-CN" w:bidi="ar"/>
              </w:rPr>
              <w:t xml:space="preserve">其他</w:t>
            </w:r>
            <w:r>
              <w:rPr>
                <w:rFonts w:hint="eastAsia" w:ascii="宋体" w:hAnsi="宋体" w:eastAsia="宋体" w:cs="宋体"/>
                <w:i w:val="0"/>
                <w:iCs w:val="0"/>
                <w:color w:val="auto"/>
                <w:sz w:val="21"/>
                <w:szCs w:val="21"/>
                <w:u w:val="none"/>
                <w:lang w:val="en-US" w:eastAsia="zh-CN" w:bidi="ar"/>
              </w:rPr>
              <w:t xml:space="preserve">金属表面均电镀处理。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AG1-3</w:t>
            </w:r>
            <w:r>
              <w:rPr>
                <w:rFonts w:hint="eastAsia" w:ascii="宋体" w:hAnsi="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旋转架</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底座、支杆、旋转体构成，二件为一套。底座直径65mm，高20mm。支杆直径10mm，长75mm，顶尖为钢制，表面镀铬处理。旋转体外形尺寸：40mm×25mm×20mm，旋转体上有盛放磁铁和胶棒的凹槽。组装后的高度为105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927"/>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AG1-</w:t>
            </w:r>
            <w:r>
              <w:rPr>
                <w:rFonts w:hint="eastAsia" w:ascii="宋体" w:hAnsi="宋体" w:cs="宋体"/>
                <w:i w:val="0"/>
                <w:iCs w:val="0"/>
                <w:color w:val="auto"/>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调压变压器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#1、输入电压：交流220V 50Hz。输出电压：交流0—250V、连续可调。最大输出电流：8A。额定功率：2kVA。绝缘电阻：电源进线端和电压输出端与机壳绝缘电阻≥20MΩ。空载电源：应小于0.2A。电压试验：仪器电源进线端和电压输出与机壳间馈给试验电压，带保护接地端子为1.5kV，不带保护接地端子为3kV，漏电电流输出不小于5mA,试验电压保持1分钟，不出现飞狐击穿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AG1-4</w:t>
            </w:r>
            <w:r>
              <w:rPr>
                <w:rFonts w:hint="eastAsia" w:ascii="宋体" w:hAnsi="宋体" w:cs="宋体"/>
                <w:i w:val="0"/>
                <w:iCs w:val="0"/>
                <w:color w:val="auto"/>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多功能充电器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#1、全金属外壳，表层喷漆，铝金属镶边，面板两边各有一对铝金属提拿把手。电源电压：AC220V 50Hz。功率：50W。充电电流：充可调内阻电池100mA±5%。蓄电池规格：6V4Ah、6V10Ah、6V15Ah可选。定时时间：充可调内阻电池1-99小时。外形尺寸：≥350mm×240mm×180mm。可适用于1-28只可调内阻电池的同时自动恒流充电。</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AG1-4</w:t>
            </w: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感应圈</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#1、电子开关式。直接使用220V、50Hz市电、消耗功率不大于120W；输出端放电火花距离为100mm；火花条数在两条以上；可连续工作15分钟；箱内装有一对（两根）放电针杆。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AG1-4</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演示直尺</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#1、木材制作，表面平整。最小分度值：1cm。外形尺寸：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1000mm×40mm×8mm，全尺刻度累计误差≤2mm，尺面平面度公差≤3mm，尺边直线度公差≤2mm，两面均涂白色漆，印黑色刻度线和红色数字。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AG1-4</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布卷尺</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#1、30m。布卷尺。外壳由ABS塑料制成，带摇手装置。具有抗冲击功能。采用全公制，纤维尺带不导电，不生锈，尺带黄色、</w:t>
            </w:r>
            <w:r>
              <w:rPr>
                <w:rFonts w:hint="eastAsia" w:ascii="宋体" w:hAnsi="宋体" w:cs="宋体"/>
                <w:i w:val="0"/>
                <w:iCs w:val="0"/>
                <w:color w:val="auto"/>
                <w:sz w:val="21"/>
                <w:szCs w:val="21"/>
                <w:u w:val="none"/>
                <w:lang w:val="en-US" w:eastAsia="zh-CN" w:bidi="ar"/>
              </w:rPr>
              <w:t xml:space="preserve">哑</w:t>
            </w:r>
            <w:r>
              <w:rPr>
                <w:rFonts w:hint="eastAsia" w:ascii="宋体" w:hAnsi="宋体" w:eastAsia="宋体" w:cs="宋体"/>
                <w:i w:val="0"/>
                <w:iCs w:val="0"/>
                <w:color w:val="auto"/>
                <w:sz w:val="21"/>
                <w:szCs w:val="21"/>
                <w:u w:val="none"/>
                <w:lang w:val="en-US" w:eastAsia="zh-CN" w:bidi="ar"/>
              </w:rPr>
              <w:t xml:space="preserve">光，尺带宽13mm。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AG1-4</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游标卡尺</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#1、测量范围: 0～150mm，分辨率:0.02mm，碳钢材质，表面做防锈处理，塑料盒装。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把</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AG1-4</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外径千分尺(螺旋测微器)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#1、测量范围: 0mm～25mm，分辨率: 0.01mm。尺架材质：铁铸件，尺架表面处理：喷塑，量面材质：硬质合金。</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38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AG1-4</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物理天平</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#1、杠杆式等臂双盘天平，有游码装置及水准器，砝码盒等。 最大载荷500g,标尺称量：0-1g，分度值20mg，不等臂偏差不大于60mg，全量变动性不大于20mg，横梁材料必须为铝合金制品，刀口、刀承材料为高碳钢或玛瑙，称盘直径不小于118mm，制动机构应保证横梁升降平稳。砝码盒为塑料制品，内装200g砝码2个、100g砝码1个、50g砝码1个、20g砝码2个、10g砝码1个、5g砝码1个、2g砝码2个、1g砝码1个及砝码镊一把，定位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AG1-4</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#1.最大称量500g，分度值0.5 g。秤量允许误差为±0.5d(分度值)。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砝码组合的总质量（包括标尺计量值）应不小于天平的最大秤量。冲压件表面应光洁平整，不应有毛刺、锋棱、裂纹。电镀件的镀层应色泽均匀，不应有露底和显见的麻点、水迹、擦伤等缺陷</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油漆件表面应平整光滑，色泽均匀，不应有露底、起泡、挂漆、擦伤等缺陷。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strike w:val="0"/>
                <w:color w:val="auto"/>
                <w:sz w:val="21"/>
                <w:szCs w:val="21"/>
                <w:u w:val="none"/>
              </w:rPr>
              <w:suppressLineNumbers w:val="0"/>
            </w:pPr>
            <w:r>
              <w:rPr>
                <w:rFonts w:hint="eastAsia" w:ascii="宋体" w:hAnsi="宋体" w:eastAsia="宋体" w:cs="宋体"/>
                <w:i w:val="0"/>
                <w:iCs w:val="0"/>
                <w:strike w:val="0"/>
                <w:color w:val="auto"/>
                <w:sz w:val="21"/>
                <w:szCs w:val="21"/>
                <w:u w:val="none"/>
                <w:lang w:val="en-US" w:eastAsia="zh-CN" w:bidi="ar"/>
              </w:rPr>
              <w:t xml:space="preserve">AG1-4</w:t>
            </w:r>
            <w:r>
              <w:rPr>
                <w:rFonts w:hint="eastAsia" w:ascii="宋体" w:hAnsi="宋体" w:cs="宋体"/>
                <w:i w:val="0"/>
                <w:iCs w:val="0"/>
                <w:strike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strike w:val="0"/>
                <w:color w:val="auto"/>
                <w:sz w:val="21"/>
                <w:szCs w:val="21"/>
                <w:u w:val="none"/>
              </w:rPr>
              <w:suppressLineNumbers w:val="0"/>
            </w:pPr>
            <w:r>
              <w:rPr>
                <w:rFonts w:hint="eastAsia" w:ascii="宋体" w:hAnsi="宋体" w:cs="宋体"/>
                <w:i w:val="0"/>
                <w:iCs w:val="0"/>
                <w:strike w:val="0"/>
                <w:color w:val="auto"/>
                <w:sz w:val="21"/>
                <w:szCs w:val="21"/>
                <w:u w:val="none"/>
                <w:lang w:val="en-US" w:eastAsia="zh-CN" w:bidi="ar"/>
              </w:rPr>
              <w:t xml:space="preserve">实验室</w:t>
            </w:r>
            <w:r>
              <w:rPr>
                <w:rFonts w:hint="eastAsia" w:ascii="宋体" w:hAnsi="宋体" w:eastAsia="宋体" w:cs="宋体"/>
                <w:i w:val="0"/>
                <w:iCs w:val="0"/>
                <w:strike w:val="0"/>
                <w:color w:val="auto"/>
                <w:sz w:val="21"/>
                <w:szCs w:val="21"/>
                <w:u w:val="none"/>
                <w:lang w:val="en-US" w:eastAsia="zh-CN" w:bidi="ar"/>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strike w:val="0"/>
                <w:color w:val="auto"/>
                <w:sz w:val="21"/>
                <w:szCs w:val="21"/>
                <w:u w:val="none"/>
              </w:rPr>
              <w:suppressLineNumbers w:val="0"/>
            </w:pPr>
            <w:r>
              <w:rPr>
                <w:rFonts w:hint="eastAsia" w:ascii="宋体" w:hAnsi="宋体" w:eastAsia="宋体" w:cs="宋体"/>
                <w:i w:val="0"/>
                <w:iCs w:val="0"/>
                <w:strike w:val="0"/>
                <w:color w:val="auto"/>
                <w:sz w:val="21"/>
                <w:szCs w:val="21"/>
                <w:u w:val="none"/>
                <w:lang w:val="en-US" w:eastAsia="zh-CN" w:bidi="ar"/>
              </w:rPr>
              <w:t xml:space="preserve">#1、玻璃制。水银，0℃～200℃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strike w:val="0"/>
                <w:color w:val="auto"/>
                <w:sz w:val="21"/>
                <w:szCs w:val="21"/>
                <w:u w:val="none"/>
              </w:rPr>
              <w:suppressLineNumbers w:val="0"/>
            </w:pPr>
            <w:r>
              <w:rPr>
                <w:rFonts w:hint="eastAsia" w:ascii="宋体" w:hAnsi="宋体" w:eastAsia="宋体" w:cs="宋体"/>
                <w:i w:val="0"/>
                <w:iCs w:val="0"/>
                <w:strike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strike w:val="0"/>
                <w:color w:val="auto"/>
                <w:sz w:val="21"/>
                <w:szCs w:val="21"/>
                <w:u w:val="none"/>
              </w:rPr>
              <w:suppressLineNumbers w:val="0"/>
            </w:pPr>
            <w:r>
              <w:rPr>
                <w:rFonts w:hint="eastAsia" w:ascii="宋体" w:hAnsi="宋体" w:eastAsia="宋体" w:cs="宋体"/>
                <w:i w:val="0"/>
                <w:iCs w:val="0"/>
                <w:strike w:val="0"/>
                <w:color w:val="auto"/>
                <w:sz w:val="21"/>
                <w:szCs w:val="21"/>
                <w:u w:val="none"/>
                <w:lang w:val="en-US" w:eastAsia="zh-CN" w:bidi="ar"/>
              </w:rPr>
              <w:t xml:space="preserve">支</w:t>
            </w:r>
            <w:r/>
          </w:p>
        </w:tc>
      </w:tr>
      <w:tr>
        <w:trPr>
          <w:trHeight w:val="109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AG1-</w:t>
            </w:r>
            <w:r>
              <w:rPr>
                <w:rFonts w:hint="eastAsia" w:ascii="宋体" w:hAnsi="宋体" w:cs="宋体"/>
                <w:i w:val="0"/>
                <w:iCs w:val="0"/>
                <w:color w:val="auto"/>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演示温度计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#1.温度测量教具，供中学教学演示实验用，可悬挂。面板规格：380mm×60mm×10mm；温度示值范围：-50℃～50℃和-50℉～120℉。示值允许误差:±1℃或±2℉；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AG1-5</w:t>
            </w:r>
            <w:r>
              <w:rPr>
                <w:rFonts w:hint="eastAsia" w:ascii="宋体" w:hAnsi="宋体" w:cs="宋体"/>
                <w:i w:val="0"/>
                <w:iCs w:val="0"/>
                <w:color w:val="auto"/>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双金属片温度计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塑料制。由温度刻度、湿度刻度、透明罩、2指针组成。产品为圆形指针式温度计，外径130mm。温度指示范围：-30℃～50℃，测量误差不大于5%。湿度指示范围：0-100%。指针转动灵活，无卡滞现象，刻度清晰，字迹清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AG1-5</w:t>
            </w: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寒暑表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#1．由塑料材料镶嵌玻璃棒芯组成。采用摄氏（℃）和华氏（℉）塑料双刻度，面板标有：摄氏 -50℃～40℃，华氏-20℉～120℉；玻璃棒芯感温液，正面放大玻璃液读数。最小分度值：2℃；储藏条件：-30℃～60℃；外形尺寸：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200mm×52mm×10mm。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AG1-5</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条形盒测力计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#1.2.5N。由方形弹簧盒（带刻板）、弹簧、提环、挂钩、指针等组成。零点可调。盒体外形尺寸：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150mm×35mm×18mm。最小刻度：0.05N。金属表面防锈处理。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AG1-5</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圆筒测力计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#1、5N；外筒由透明塑料制成，外径21mm，长150mm；具有优良测量性能的耐疫劳弹簧、提环和塑料外筒等构成，全封闭结构。有N和g对应刻度，最小分度值为0.1N，最大分度值1N上标有数字。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AG1-5</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圆筒测力计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#1、1N；外筒由透明塑料制成，外径21mm，长150mm；具有优良测量性能的耐疫劳弹簧、提环和塑料外筒等构成，全封闭结构。有N和g对应刻度，最小分度值为0.05N，最大分度值0.2N上标有数字。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AG1-5</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圆盘测力计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#1、10N，圆盘指针式。产品由上滑杆、予力调正套、复零调节套、指针、示度盘、下予力调正套、下滑杆、后盖、联销轴、圆盘、垫板、支撑板等组成。表面直径约200mm，分度值1N。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AG1-5</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演示测力计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#1、由弹簧、指针、刻度板、拉杆、悬挂装置、夹持柄等组成，刻度板为塑料制品，外形尺寸：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310mm×85mm×8mm，中间槽孔尺寸：272mm×25mm，刻度值为 0N～2N，最小分度值为0.1N、最大分度值为0.5N。右左侧刻度线一致。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AG1-5</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演示电表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#1、测量范围：G：-100uA~0~+100uA；DCA：0~200uA、0~0.5A、0~2.5A压降95mV；DCV：0~2.5V、0~10V；电压灵敏度2KΩ/V；精度：2.5级；防外磁场Ⅳ级；阻尼时间：不大于6秒；外形尺寸：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270mm×270mm×112mm。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AG1-</w:t>
            </w:r>
            <w:r>
              <w:rPr>
                <w:rFonts w:hint="eastAsia" w:ascii="宋体" w:hAnsi="宋体" w:cs="宋体"/>
                <w:i w:val="0"/>
                <w:iCs w:val="0"/>
                <w:color w:val="auto"/>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内磁表头。测量范围：直流电流：0～5～50～500mA,10A；直流电压：0～0.25～0.5～10～50～250～500～1000V，交流电压：0～10～50～250～500～1000V；直流电阻：X1～X10K；温度测试：-10～150℃，电容：0.01～100000μf；电感：20～1000H；音频电平：-10～+22db。表笔1套。外型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165×113×52mm。重量：≥0.6kg。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AG1-</w:t>
            </w:r>
            <w:r>
              <w:rPr>
                <w:rFonts w:hint="eastAsia" w:ascii="宋体" w:hAnsi="宋体" w:cs="宋体"/>
                <w:i w:val="0"/>
                <w:iCs w:val="0"/>
                <w:color w:val="auto"/>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投影电流表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#1、指示面板与水面平行，测量范围：（-0.2~0~0.6A）（-1~0~3A），测量精度：2.5级，阻尼时间：不大于4s，外形尺寸：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100mm×120mm×35mm，指针长度：45mm，最小分度值为0.02A、0.1A，对外界磁场的防御等级为Ⅲ级。</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124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AG1-6</w:t>
            </w:r>
            <w:r>
              <w:rPr>
                <w:rFonts w:hint="eastAsia" w:ascii="宋体" w:hAnsi="宋体" w:cs="宋体"/>
                <w:i w:val="0"/>
                <w:iCs w:val="0"/>
                <w:color w:val="auto"/>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投影电压表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#1、指示面板与水面平行，测量范围：（-1~0~3V）(-5~0~15V)，测量精度：2.5级，阻尼时间：不大于4s，外形尺寸：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100mm×120mm×35mm，指针长度：45mm，最小分度值为0.5V、0.1V，对外界磁场的防御等级为Ⅲ级</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AG1-6</w:t>
            </w: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投影检流计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#1、测量范围：±300μA，指示面板与水面平行，偏差5%，对外界磁场的防御等级为Ⅲ级，指针长度为45mm。透明外壳，尺寸：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100mm×120mm×35mm。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229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AG1-6</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教学示波器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#1、垂直系统频率响应：直流DC~5MHz≤3dB，交流10Hz~5MHz≤3dB；偏转因素：20mVp-p／格，误差±10%；输入电容：1M∥40PF；衰减倍率：1、10、100、1000，误差±10%；输入耐压：400V（DC+ACpk）；扫描系统扫描频率： 10Hz~100kHz，分</w:t>
            </w:r>
            <w:r>
              <w:rPr>
                <w:rFonts w:hint="eastAsia" w:ascii="宋体" w:hAnsi="宋体" w:cs="宋体"/>
                <w:i w:val="0"/>
                <w:iCs w:val="0"/>
                <w:color w:val="auto"/>
                <w:sz w:val="21"/>
                <w:szCs w:val="21"/>
                <w:u w:val="none"/>
                <w:lang w:val="en-US" w:eastAsia="zh-CN" w:bidi="ar"/>
              </w:rPr>
              <w:t xml:space="preserve">四档</w:t>
            </w:r>
            <w:r>
              <w:rPr>
                <w:rFonts w:hint="eastAsia" w:ascii="宋体" w:hAnsi="宋体" w:eastAsia="宋体" w:cs="宋体"/>
                <w:i w:val="0"/>
                <w:iCs w:val="0"/>
                <w:color w:val="auto"/>
                <w:sz w:val="21"/>
                <w:szCs w:val="21"/>
                <w:u w:val="none"/>
                <w:lang w:val="en-US" w:eastAsia="zh-CN" w:bidi="ar"/>
              </w:rPr>
              <w:t xml:space="preserve">；同步：内正、内负、外同步；水平系统频率响应：10Hz~500kHz≤3dB；偏转因素：100mVp-p／格；输入电容：1M∥60PF；波形：正弦波 50Hz；幅度：250mVp-p±10%；余辉：中；工作环境：温度0℃~+40℃；相对湿度：≤90%（40℃）。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AG1-6</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大屏幕示波器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显示部件：35cm黑白电视显像管，显示面积27cm×21cm，静电聚焦，电磁</w:t>
            </w:r>
            <w:r>
              <w:rPr>
                <w:rFonts w:hint="eastAsia" w:ascii="宋体" w:hAnsi="宋体" w:cs="宋体"/>
                <w:i w:val="0"/>
                <w:iCs w:val="0"/>
                <w:color w:val="auto"/>
                <w:sz w:val="21"/>
                <w:szCs w:val="21"/>
                <w:u w:val="none"/>
                <w:lang w:val="en-US" w:eastAsia="zh-CN" w:bidi="ar"/>
              </w:rPr>
              <w:t xml:space="preserve">偏转型式</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#2、输入灵敏度：Y轴不劣于80mV/cm； X轴不劣于40mV/cm。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#3、频率响应范围：Y轴2Hz~5KHz； X轴2Hz~1KHz。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#4、X轴锯齿波扫描频率：200Hz、500Hz二档。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#5、机内信号：1KHz正弦波形，空载不小于1V，由面板接线柱直接引出。消耗功率：不大于38W 。重量：8.5</w:t>
            </w:r>
            <w:r>
              <w:rPr>
                <w:rFonts w:hint="eastAsia" w:ascii="宋体" w:hAnsi="宋体" w:cs="宋体"/>
                <w:i w:val="0"/>
                <w:iCs w:val="0"/>
                <w:color w:val="auto"/>
                <w:sz w:val="21"/>
                <w:szCs w:val="21"/>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AG1-6</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湿度计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#1、双指针式、全塑料外壳，带座可悬挂。可测温度及湿度。直径约128mm。温度可测 -30°C~50°C，湿度可测 10%RH~90%RH。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21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AG1-6</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空盒气压计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#1、多膜盒。产品由上拖板、真空膜盒、连接拉杆、调节螺丝、中间轴、调整器、扇形齿轮、直齿轮、偏心螺钉、游丝、指针、刻度盘及打气球等组成。测量范围：80～106Kpa，分度值：0.1Kpa，测量误差：小于0.25 Kpa。外形尺寸：直径150mm，高80mm。全透明外壳。</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AG1-6</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连通器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#1、产品由透明塑料注塑成型的连通管各插接式底座两部分组成。连通管有粗直管一根、弯直管一根、三球管一根、细直管一根，它们上端开口不连通，下部连通的容器。产品外形尺寸：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250mm×125mm×215mm。粗直管孔径为29mm、细直管孔径为9.7mm。底座为双边插接式，结构稳定可靠。</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AG1-6</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帕斯卡球</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#1、产品主要由圆管、空心球、活塞、活塞杆、手柄组成。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#2、圆管选用金属无缝钢管，有效尺寸不小于直径28×180mm,一端应有连接空白球的螺纹，另一端有拧盖螺纹、螺纹连接部分应牢靠、表面防锈处理。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#3、空心球用不锈钢制作，直径不小于80mm.圆球上装有10个不同方向的喷嘴，喷嘴连接牢固、密封。圆球与圆管连接方便。无漏水现象。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#4、活塞选用耐油优质橡胶制作、规格尺寸与圆管内径密封配合，活塞安装在活塞杆上。活塞另一端安装塑料手柄。</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#5、组装后的帕斯卡球应抽动自如，密封性良好。 钢材表面采用防锈处理加环保油漆涂层精制而成。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AG1-</w:t>
            </w:r>
            <w:r>
              <w:rPr>
                <w:rFonts w:hint="eastAsia" w:ascii="宋体" w:hAnsi="宋体" w:cs="宋体"/>
                <w:i w:val="0"/>
                <w:iCs w:val="0"/>
                <w:color w:val="auto"/>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浮力原理演示器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大水槽1个，用透明材料制成，表面0～300刻度，规格不小于Φ110×300（mm）,在大水槽的底部分隔一个小水槽，规格不小于Φ70×90（mm）。排气管1个在小水槽上方边缘的位置、进气口在小水槽的中心位置。附配重物5个，直径49mm、高17mm。附浮胶管1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AG1-</w:t>
            </w:r>
            <w:r>
              <w:rPr>
                <w:rFonts w:hint="eastAsia" w:ascii="宋体" w:hAnsi="宋体" w:cs="宋体"/>
                <w:i w:val="0"/>
                <w:iCs w:val="0"/>
                <w:color w:val="auto"/>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物体浮沉条件演示器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透明盛液筒、浮筒、配重体、导引磁铁、铁丝条组成。盛液筒用无毒、透明塑料制成，高300mmn、内径108mm，筒壁应有刻度标志，盛液筒底面平稳。浮筒为圆柱形状、空心，外径96mm，内径60mm，高98mm。配重体为直径85mm的铁丝绕制，铁丝直径2mm，表面防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AG1-7</w:t>
            </w:r>
            <w:r>
              <w:rPr>
                <w:rFonts w:hint="eastAsia" w:ascii="宋体" w:hAnsi="宋体" w:cs="宋体"/>
                <w:i w:val="0"/>
                <w:iCs w:val="0"/>
                <w:color w:val="auto"/>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潜水艇浮沉演示器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产品由透明球体、配重块、吸排气筒等组成。透明球体直径≥70mm。吸排气筒容量：0～20ml。透明塑胶管长度≥20cm.各处配合无漏气现象。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AG1-7</w:t>
            </w: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液体对器壁压强演示器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#1、流体力学仪器，演示液体对器壁压强的实验。由圆柱形透明玻璃圆管，胶膜以及橡胶绳组成，圆管侧面另与两个凸出玻璃圆管连通。直管直径约30mm，长200mm；侧管直径约17mm，长25mm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AG1-7</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气体浮力演示器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#1、基本结构：由大球Φ15cm、大气球 、 塑料网、50g×10 钩码1个、球针、杠杆尺、支架、底座等组成。底座尺寸不小于200mm×60mm×10mm。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AG1-7</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马德堡半球</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#1、铸铁制成半球（圆盘）的合口处边表面粗糙度最大允许值为3.2um，当半球（圆盘）的内外压强差为0.0677Mpa(500mmHg)，经30分钟后，其压强不低于0.064MPa（480mmHg），内外压差用准确度不低于1.5级真空表测量。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#2、半球（圆盘）外径不小于Φ105mm，</w:t>
            </w:r>
            <w:r>
              <w:rPr>
                <w:rFonts w:hint="eastAsia" w:ascii="宋体" w:hAnsi="宋体" w:cs="宋体"/>
                <w:i w:val="0"/>
                <w:iCs w:val="0"/>
                <w:color w:val="auto"/>
                <w:sz w:val="21"/>
                <w:szCs w:val="21"/>
                <w:u w:val="none"/>
                <w:lang w:val="en-US" w:eastAsia="zh-CN" w:bidi="ar"/>
              </w:rPr>
              <w:t xml:space="preserve">内径</w:t>
            </w:r>
            <w:r>
              <w:rPr>
                <w:rFonts w:hint="eastAsia" w:ascii="宋体" w:hAnsi="宋体" w:eastAsia="宋体" w:cs="宋体"/>
                <w:i w:val="0"/>
                <w:iCs w:val="0"/>
                <w:color w:val="auto"/>
                <w:sz w:val="21"/>
                <w:szCs w:val="21"/>
                <w:u w:val="none"/>
                <w:lang w:val="en-US" w:eastAsia="zh-CN" w:bidi="ar"/>
              </w:rPr>
              <w:t xml:space="preserve">不小于Φ75mm。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#3、半球（圆盘）为铸铁、拉环为铁件，须进行时效处理，消除内应力，防止变形。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#4、旋塞和抽气管咀由黄铜制成。外径Φ8mm，旋塞一端装有与通气孔方向一致的旋片，旋塞应松紧适宜、转动灵活。</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#5、产品外表面喷漆、平整、光滑、无毛刺。两半球（圆盘）的合口处和旋塞应进行成组匝配。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AG1-7</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大气压系列实验器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#1、由透明杯，橡胶套圈，胶塞，方格盖板，带嘴盖板，多孔球盖，小气球，弹簧夹和乳胶管等组成。透明杯：由聚苯之类的透明材料制成，高约96mm。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#2、橡胶套圈：可环套在杯口上，下抵杯的环肩，上部与盖板配合，实现对杯口的严紧密封。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#3、胶塞：可堵塞在杯底的气咀内，实现杯的密封。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#4、方格盖板：由聚苯之类的透明材料制成，Φ80mm，厚约3mm。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#5、带嘴盖板：由聚苯之类的透明材料制成，Φ80mm，厚约3mm。</w:t>
            </w:r>
            <w:r>
              <w:rPr>
                <w:rFonts w:hint="eastAsia" w:ascii="宋体" w:hAnsi="宋体" w:cs="宋体"/>
                <w:i w:val="0"/>
                <w:iCs w:val="0"/>
                <w:color w:val="auto"/>
                <w:sz w:val="21"/>
                <w:szCs w:val="21"/>
                <w:u w:val="none"/>
                <w:lang w:val="en-US" w:eastAsia="zh-CN" w:bidi="ar"/>
              </w:rPr>
              <w:t xml:space="preserve">多孔</w:t>
            </w:r>
            <w:r>
              <w:rPr>
                <w:rFonts w:hint="eastAsia" w:ascii="宋体" w:hAnsi="宋体" w:eastAsia="宋体" w:cs="宋体"/>
                <w:i w:val="0"/>
                <w:iCs w:val="0"/>
                <w:color w:val="auto"/>
                <w:sz w:val="21"/>
                <w:szCs w:val="21"/>
                <w:u w:val="none"/>
                <w:lang w:val="en-US" w:eastAsia="zh-CN" w:bidi="ar"/>
              </w:rPr>
              <w:t xml:space="preserve">盖板外径约65mm。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AG1-7</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压力和压强演示器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#1、由压强小桌、海绵块组成。压强小桌应采用ABS塑料注塑成型，表面光滑平整，桌面尺寸不小于130×80mm。小桌腿上粗下细，总长45mm。海绵块尺寸不小于130×70×30mm。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AG1-7</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流体流速与压强关系演示器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#1、由快慢流速管(1支)、 U形管(2个) 、滴管 (1支) 、 示教板、乳胶管、底座组成。示教板为铁制，表面烤白漆，规格：440mm×280mm。底座为铁制，表面烤黑漆，规格（长×宽×高）：440mm×120mm×18mm。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AG1-7</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演示滑轮组</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演示滑轮组的组成及规格如下：单滑轮2只。外径53mm。三并滑轮2组，外径53mm。三串滑轮2组，外径53、40、30mm。滑轮框架结构均为封闭式，采用ABS塑料制成。滑轮挂钩由金属制成，使用时将挂钩置于滑轮的挂钩孔位内即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AG1-</w:t>
            </w:r>
            <w:r>
              <w:rPr>
                <w:rFonts w:hint="eastAsia" w:ascii="宋体" w:hAnsi="宋体" w:cs="宋体"/>
                <w:i w:val="0"/>
                <w:iCs w:val="0"/>
                <w:color w:val="auto"/>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滚摆</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滚摆摆体（摆轮和摆轴）、悬线、支柱、横梁和底座组成。摆轮Φ115mm。摆轴Φ8mm，长160mm，轴上两个穿线孔距离140mm，穿线孔径Φ1.5mm。支柱高350mm，横梁长240mm。摆轴对摆轮的垂直度公差为0.5mm。摆轴应粗细均匀。轴上二穿线孔对于摆轮的对称公差0.5mm。摆体重心偏移轴线公差为0.5mm。摆轴镀铬。底座应稳固，表面涂漆，支柱表面应作防锈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AG1-</w:t>
            </w:r>
            <w:r>
              <w:rPr>
                <w:rFonts w:hint="eastAsia" w:ascii="宋体" w:hAnsi="宋体" w:cs="宋体"/>
                <w:i w:val="0"/>
                <w:iCs w:val="0"/>
                <w:color w:val="auto"/>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离心轨道</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底座、环形轨道、接球槽和高度调节器组成。底座塑料制成，长：300mm，宽：125mm。环形轨道采用宽20mm,厚9mm铝槽弯制而成，中心圆环的外径约140mm。接球槽为塑料制成，钢球Φ22mm。高度调节器为塑料制成，可在长轨上调节移动，长轨长约400mm,短轨长约120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AG1-8</w:t>
            </w:r>
            <w:r>
              <w:rPr>
                <w:rFonts w:hint="eastAsia" w:ascii="宋体" w:hAnsi="宋体" w:cs="宋体"/>
                <w:i w:val="0"/>
                <w:iCs w:val="0"/>
                <w:color w:val="auto"/>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初中力学演示板</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#1、组合教具，全部教具组装于纸箱内。仪器由实验底板、大三角支板、紧固销、塑料吊杯、支撑杆、平直导轨、双向测力计等组成。完成初中物理力学“重力的方向和</w:t>
            </w:r>
            <w:r>
              <w:rPr>
                <w:rFonts w:hint="eastAsia" w:ascii="宋体" w:hAnsi="宋体" w:cs="宋体"/>
                <w:i w:val="0"/>
                <w:iCs w:val="0"/>
                <w:color w:val="auto"/>
                <w:sz w:val="21"/>
                <w:szCs w:val="21"/>
                <w:u w:val="none"/>
                <w:lang w:val="en-US" w:eastAsia="zh-CN" w:bidi="ar"/>
              </w:rPr>
              <w:t xml:space="preserve">重垂线</w:t>
            </w:r>
            <w:r>
              <w:rPr>
                <w:rFonts w:hint="eastAsia" w:ascii="宋体" w:hAnsi="宋体" w:eastAsia="宋体" w:cs="宋体"/>
                <w:i w:val="0"/>
                <w:iCs w:val="0"/>
                <w:color w:val="auto"/>
                <w:sz w:val="21"/>
                <w:szCs w:val="21"/>
                <w:u w:val="none"/>
                <w:lang w:val="en-US" w:eastAsia="zh-CN" w:bidi="ar"/>
              </w:rPr>
              <w:t xml:space="preserve">”、“用弹簧称测力”、“弹簧的伸长跟所受的拉力成正比”、“二力平衡的条件”、“物体的惯性”、“摩擦”、“杠杆的作用和平衡条件”、“轮轴的作用和平衡条件”、“定滑轮、动画轮和滑轮组的作用”、“功的原理”、“斜面”、“机械效率”等不少于22个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AG1-8</w:t>
            </w: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飞机升力原理演示器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机翼模型、滑杆、底座、风扇等组成。机翼采用轻质材料制成，其形状仿飞机模形。风扇部分电源开关、调节器，外壳采用塑料，有良好的绝缘性，底座由优质胶合板制成。底座尺寸不小于520mm×150mm×12mm，电源：AC220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AG1-8</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手摇离心转台</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#1、产品由机座、主动轮（附摇手）和从动轮等组成。外形尺寸：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478mm×238mm×113mm。机座材料为铸铁，平放、立放均平稳可靠。主动轮直径为240mm,从动轮直径为39mm。主动轮和从动轮转动灵活、平稳，转动时皮带</w:t>
            </w:r>
            <w:r>
              <w:rPr>
                <w:rFonts w:hint="eastAsia" w:ascii="宋体" w:hAnsi="宋体" w:cs="宋体"/>
                <w:i w:val="0"/>
                <w:iCs w:val="0"/>
                <w:color w:val="auto"/>
                <w:sz w:val="21"/>
                <w:szCs w:val="21"/>
                <w:u w:val="none"/>
                <w:lang w:val="en-US" w:eastAsia="zh-CN" w:bidi="ar"/>
              </w:rPr>
              <w:t xml:space="preserve">不会</w:t>
            </w:r>
            <w:r>
              <w:rPr>
                <w:rFonts w:hint="eastAsia" w:ascii="宋体" w:hAnsi="宋体" w:eastAsia="宋体" w:cs="宋体"/>
                <w:i w:val="0"/>
                <w:iCs w:val="0"/>
                <w:color w:val="auto"/>
                <w:sz w:val="21"/>
                <w:szCs w:val="21"/>
                <w:u w:val="none"/>
                <w:lang w:val="en-US" w:eastAsia="zh-CN" w:bidi="ar"/>
              </w:rPr>
              <w:t xml:space="preserve">脱落。各部件作防锈处理。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AG1-8</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纵波演示器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中学物理演示纵波的传播、反射等；仪器采用塑料支架悬挂弹簧形式，全长不小于100cm、Φ60mm螺旋弹簧自由悬挂在支架上，振源金属可上下调节，整套仪器包括机架1个（螺旋弹簧1支、振源2只）；连接杆15个；反光白布1块；可拆卸后装入40×35×15cm的纸箱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AG1-8</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声传播演示器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#1、演示器由演示板、信号发生器、放大</w:t>
            </w:r>
            <w:r>
              <w:rPr>
                <w:rFonts w:hint="eastAsia" w:ascii="宋体" w:hAnsi="宋体" w:cs="宋体"/>
                <w:i w:val="0"/>
                <w:iCs w:val="0"/>
                <w:color w:val="auto"/>
                <w:sz w:val="21"/>
                <w:szCs w:val="21"/>
                <w:u w:val="none"/>
                <w:lang w:val="en-US" w:eastAsia="zh-CN" w:bidi="ar"/>
              </w:rPr>
              <w:t xml:space="preserve">扬声器</w:t>
            </w:r>
            <w:r>
              <w:rPr>
                <w:rFonts w:hint="eastAsia" w:ascii="宋体" w:hAnsi="宋体" w:eastAsia="宋体" w:cs="宋体"/>
                <w:i w:val="0"/>
                <w:iCs w:val="0"/>
                <w:color w:val="auto"/>
                <w:sz w:val="21"/>
                <w:szCs w:val="21"/>
                <w:u w:val="none"/>
                <w:lang w:val="en-US" w:eastAsia="zh-CN" w:bidi="ar"/>
              </w:rPr>
              <w:t xml:space="preserve">、传声棒、</w:t>
            </w:r>
            <w:r>
              <w:rPr>
                <w:rFonts w:hint="eastAsia" w:ascii="宋体" w:hAnsi="宋体" w:cs="宋体"/>
                <w:i w:val="0"/>
                <w:iCs w:val="0"/>
                <w:color w:val="auto"/>
                <w:sz w:val="21"/>
                <w:szCs w:val="21"/>
                <w:u w:val="none"/>
                <w:lang w:val="en-US" w:eastAsia="zh-CN" w:bidi="ar"/>
              </w:rPr>
              <w:t xml:space="preserve">音量</w:t>
            </w:r>
            <w:r>
              <w:rPr>
                <w:rFonts w:hint="eastAsia" w:ascii="宋体" w:hAnsi="宋体" w:eastAsia="宋体" w:cs="宋体"/>
                <w:i w:val="0"/>
                <w:iCs w:val="0"/>
                <w:color w:val="auto"/>
                <w:sz w:val="21"/>
                <w:szCs w:val="21"/>
                <w:u w:val="none"/>
                <w:lang w:val="en-US" w:eastAsia="zh-CN" w:bidi="ar"/>
              </w:rPr>
              <w:t xml:space="preserve">调节器等组成。演示板采用塑料注塑成型，外形尺寸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为355mm×255mm×22mm，外包脚尺寸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为115mm×20mm×70mm。透明圆筒尺寸为直径45mm，长190mm，壁厚不小于3mm。</w:t>
            </w:r>
            <w:r>
              <w:rPr>
                <w:rFonts w:hint="eastAsia" w:ascii="宋体" w:hAnsi="宋体" w:cs="宋体"/>
                <w:i w:val="0"/>
                <w:iCs w:val="0"/>
                <w:color w:val="auto"/>
                <w:sz w:val="21"/>
                <w:szCs w:val="21"/>
                <w:u w:val="none"/>
                <w:lang w:val="en-US" w:eastAsia="zh-CN" w:bidi="ar"/>
              </w:rPr>
              <w:t xml:space="preserve">扬声器</w:t>
            </w:r>
            <w:r>
              <w:rPr>
                <w:rFonts w:hint="eastAsia" w:ascii="宋体" w:hAnsi="宋体" w:eastAsia="宋体" w:cs="宋体"/>
                <w:i w:val="0"/>
                <w:iCs w:val="0"/>
                <w:color w:val="auto"/>
                <w:sz w:val="21"/>
                <w:szCs w:val="21"/>
                <w:u w:val="none"/>
                <w:lang w:val="en-US" w:eastAsia="zh-CN" w:bidi="ar"/>
              </w:rPr>
              <w:t xml:space="preserve">可发出不小于50分贝。能演示空气传播、固体传播、液体传播及真空传播</w:t>
            </w:r>
            <w:r>
              <w:rPr>
                <w:rFonts w:hint="eastAsia" w:ascii="宋体" w:hAnsi="宋体" w:cs="宋体"/>
                <w:i w:val="0"/>
                <w:iCs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演示效果。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AG1-8</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超声应用演示器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#1、超声应用演示器可进行超声波测距、报警、水位控制、倒车报警等控制实验的演示器。主要参数：电源电压：220V  50Hz，工作频率：40kHz，显示距离：0.2－2.5m，消耗功率：小于3W，外形尺寸：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210mm×200mm×75mm，重量：0.5</w:t>
            </w:r>
            <w:r>
              <w:rPr>
                <w:rFonts w:hint="eastAsia" w:ascii="宋体" w:hAnsi="宋体" w:cs="宋体"/>
                <w:i w:val="0"/>
                <w:iCs w:val="0"/>
                <w:color w:val="auto"/>
                <w:sz w:val="21"/>
                <w:szCs w:val="21"/>
                <w:u w:val="none"/>
                <w:lang w:val="en-US" w:eastAsia="zh-CN" w:bidi="ar"/>
              </w:rPr>
              <w:t xml:space="preserve">kg</w:t>
            </w: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AG1-8</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声速测量仪</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#1、由一台主机、两个专用传感器带支架底座、自行车铃及连接导线组成。声源频率：5kHz；传感器间距：3-4m；测量精度：5%；工作电压：DC9V。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AG1-8</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内聚力演示器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#1、由两个中空镶铅圆柱体、刮削器组成。铅柱分为红、蓝各1，每支上有挂钩，外形尺寸不小于：Φ20mm，长50mm。刮削器外壳为塑料，塑料筒内置刀片。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AG1-</w:t>
            </w:r>
            <w:r>
              <w:rPr>
                <w:rFonts w:hint="eastAsia" w:ascii="宋体" w:hAnsi="宋体" w:cs="宋体"/>
                <w:i w:val="0"/>
                <w:iCs w:val="0"/>
                <w:color w:val="auto"/>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演示原副线圈</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演示原副线圈由演示原线圈、演示</w:t>
            </w:r>
            <w:r>
              <w:rPr>
                <w:rFonts w:hint="eastAsia" w:ascii="宋体" w:hAnsi="宋体" w:cs="宋体"/>
                <w:i w:val="0"/>
                <w:iCs w:val="0"/>
                <w:color w:val="auto"/>
                <w:sz w:val="21"/>
                <w:szCs w:val="21"/>
                <w:u w:val="none"/>
                <w:lang w:val="en-US" w:eastAsia="zh-CN" w:bidi="ar"/>
              </w:rPr>
              <w:t xml:space="preserve">副线圈</w:t>
            </w:r>
            <w:r>
              <w:rPr>
                <w:rFonts w:hint="eastAsia" w:ascii="宋体" w:hAnsi="宋体" w:eastAsia="宋体" w:cs="宋体"/>
                <w:i w:val="0"/>
                <w:iCs w:val="0"/>
                <w:color w:val="auto"/>
                <w:sz w:val="21"/>
                <w:szCs w:val="21"/>
                <w:u w:val="none"/>
                <w:lang w:val="en-US" w:eastAsia="zh-CN" w:bidi="ar"/>
              </w:rPr>
              <w:t xml:space="preserve">、铁芯三部分组成。原线圈：内径13±0.5mm，外径22±1mm，直径0.59漆包线平绕，绕线长度63mm。副线圈：内径35±1mm，外径49±1mm，直径0.27漆包线平绕，绕线长度67mm。铁芯：Φ 12mm；长度80mm。外形尺寸：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66mm×66mm×110mm。线圈骨架用黑色塑料制成，表面光洁，</w:t>
            </w:r>
            <w:r>
              <w:rPr>
                <w:rFonts w:hint="eastAsia" w:ascii="宋体" w:hAnsi="宋体" w:cs="宋体"/>
                <w:i w:val="0"/>
                <w:iCs w:val="0"/>
                <w:color w:val="auto"/>
                <w:sz w:val="21"/>
                <w:szCs w:val="21"/>
                <w:u w:val="none"/>
                <w:lang w:val="en-US" w:eastAsia="zh-CN" w:bidi="ar"/>
              </w:rPr>
              <w:t xml:space="preserve">副线圈</w:t>
            </w:r>
            <w:r>
              <w:rPr>
                <w:rFonts w:hint="eastAsia" w:ascii="宋体" w:hAnsi="宋体" w:eastAsia="宋体" w:cs="宋体"/>
                <w:i w:val="0"/>
                <w:iCs w:val="0"/>
                <w:color w:val="auto"/>
                <w:sz w:val="21"/>
                <w:szCs w:val="21"/>
                <w:u w:val="none"/>
                <w:lang w:val="en-US" w:eastAsia="zh-CN" w:bidi="ar"/>
              </w:rPr>
              <w:t xml:space="preserve">底座平整，直立于平面时不应晃动。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AG1-</w:t>
            </w:r>
            <w:r>
              <w:rPr>
                <w:rFonts w:hint="eastAsia" w:ascii="宋体" w:hAnsi="宋体" w:cs="宋体"/>
                <w:i w:val="0"/>
                <w:iCs w:val="0"/>
                <w:color w:val="auto"/>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蹄形电磁铁</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#1、产品由U型铁芯、两个线圈和衔铁组成。铁芯直径11.5mm，两端中心距45mm，高110mm，带挂钩。线圈绕线长度44mm，有绕向标志。衔铁厚度2mm，带挂钩。</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157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AG1-9</w:t>
            </w:r>
            <w:r>
              <w:rPr>
                <w:rFonts w:hint="eastAsia" w:ascii="宋体" w:hAnsi="宋体" w:cs="宋体"/>
                <w:i w:val="0"/>
                <w:iCs w:val="0"/>
                <w:color w:val="auto"/>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左右手定则演示器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#1.左右手定则演示器由塑料底座、两根金属电镀撑杆、塑料接线板、方形线圈组成。底座采用优质塑料，规格（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179mm×120mm×14mm）。接线板尺寸：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150mm×10mm×4mm，上有红黑接线柱。撑杆直径6mm，总长400mm，表面电镀。方形线圈内径62mm，宽10mm，带导线。</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AG1-9</w:t>
            </w: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手摇交直流发电机</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#1.电学仪器，供中学物理演示交直流发电机的结构和工作原理使用，可兼作小功率电源；结构：由定子、转子，电刷、转动机构、集流环（或换向器）、小灯座，底板等组成。底板采用</w:t>
            </w:r>
            <w:r>
              <w:rPr>
                <w:rFonts w:hint="eastAsia" w:ascii="宋体" w:hAnsi="宋体" w:cs="宋体"/>
                <w:i w:val="0"/>
                <w:iCs w:val="0"/>
                <w:color w:val="auto"/>
                <w:sz w:val="21"/>
                <w:szCs w:val="21"/>
                <w:u w:val="none"/>
                <w:lang w:val="en-US" w:eastAsia="zh-CN" w:bidi="ar"/>
              </w:rPr>
              <w:t xml:space="preserve">木质</w:t>
            </w:r>
            <w:r>
              <w:rPr>
                <w:rFonts w:hint="eastAsia" w:ascii="宋体" w:hAnsi="宋体" w:eastAsia="宋体" w:cs="宋体"/>
                <w:i w:val="0"/>
                <w:iCs w:val="0"/>
                <w:color w:val="auto"/>
                <w:sz w:val="21"/>
                <w:szCs w:val="21"/>
                <w:u w:val="none"/>
                <w:lang w:val="en-US" w:eastAsia="zh-CN" w:bidi="ar"/>
              </w:rPr>
              <w:t xml:space="preserve">，尺寸：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290mm×200mm×15mm。空载电压不小于8V，负载电压不小于4V。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AG1-9</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能的转化演示器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仪器可进行机械能、电能、化学能、热能、光能、声能、风能的转化演示。产品由一块主示教板和五块小示教板组成。主示教板是一只直流永磁式电机、皮带传动机构、电路图、电池盒（1号两节）、输出接线柱构成，演示板尺寸不小于300mm×200mm。小示教板由风扇示教板、音乐（声能）示教板、热能光能示教板、磁能示教板、太阳能电池板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AG1-9</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轴承模型</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#1、模型为滚动轴承,仿滚动轴承全塑料制，可拆卸。轴承外径105mm，内孔51mm，厚23mm。外圈外圆中心剖，滚珠8个。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26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AG1-9</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抽水机模型</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吸取式抽水机模型由支架、缸筒、活塞、活塞环（密封圈）、连杆、进水阀、出水阀、进水管、出水嘴、缸盖、立柱、压杆、手柄和水槽组成。立柱、缸盖、压杆采用金属制成，表面防锈处理。缸筒、进水阀、出水阀、出水管用透明塑料制成，缸筒壁厚≥4mm，缸筒</w:t>
            </w:r>
            <w:r>
              <w:rPr>
                <w:rFonts w:hint="eastAsia" w:ascii="宋体" w:hAnsi="宋体" w:cs="宋体"/>
                <w:i w:val="0"/>
                <w:iCs w:val="0"/>
                <w:color w:val="auto"/>
                <w:sz w:val="21"/>
                <w:szCs w:val="21"/>
                <w:u w:val="none"/>
                <w:lang w:val="en-US" w:eastAsia="zh-CN" w:bidi="ar"/>
              </w:rPr>
              <w:t xml:space="preserve">外径</w:t>
            </w:r>
            <w:r>
              <w:rPr>
                <w:rFonts w:hint="eastAsia" w:ascii="宋体" w:hAnsi="宋体" w:eastAsia="宋体" w:cs="宋体"/>
                <w:i w:val="0"/>
                <w:iCs w:val="0"/>
                <w:color w:val="auto"/>
                <w:sz w:val="21"/>
                <w:szCs w:val="21"/>
                <w:u w:val="none"/>
                <w:lang w:val="en-US" w:eastAsia="zh-CN" w:bidi="ar"/>
              </w:rPr>
              <w:t xml:space="preserve">≥60mm。安装稳固，密封；结构原理直观，实验效果明显。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AG1-9</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离心水泵模型</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仪器为齿轮式，由泵体、叶轮、机轴、吸水口、出水口、排水口、手轮、齿轮、手柄组成。扬水和吸水高度均不小于0.6米。泵体表面经防锈处理，泵体轴孔应密封不漏水。叶轮应该转动灵活，无跳动卡滞现象。泵轴转速可达900转/分，叶轮Φ100mm，扬程 1m。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AG1-9</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液压机模型</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大缸体、小缸体、角式截气阀、底座、压力表和压力弹簧等构成。大小活塞为透明材料，外径分别为57mm、22mm。底座为塑料注塑成型，外形尺寸：230mm*130mm*50mm，中心部位为油箱。压力表示值：最大值为2.5Mpa。整体高度：280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AG1-9</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水轮机模型</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水槽、导水槽、套管、传动轴、传动轮、叶轮、橡皮塞、支脚等组成。水槽为透明塑料注塑成型，为台阶式，外径分别为：41mm、103mm、138mm，总高125mm。传动轮直径100mm。支脚塑料制，直径7.5mm，带弧形，长120mm。各部件比例适当，位置正确，连接牢固，工作稳定可靠。叶轮转动灵活，无跳动卡滞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AG1-</w:t>
            </w:r>
            <w:r>
              <w:rPr>
                <w:rFonts w:hint="eastAsia" w:ascii="宋体" w:hAnsi="宋体" w:cs="宋体"/>
                <w:i w:val="0"/>
                <w:iCs w:val="0"/>
                <w:color w:val="auto"/>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汽油机模型</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#1、产品由塑料制成，高度300mm。由进气管、进气阀、排气管、排气阀、气缸、活塞、连杆、曲轴、火花塞、齿轮组、主动轮、挺杆等组成，外壳剖开，能看清内部结构。模型各部件比例适当，位置正确，</w:t>
            </w:r>
            <w:r>
              <w:rPr>
                <w:rFonts w:hint="eastAsia" w:ascii="宋体" w:hAnsi="宋体" w:cs="宋体"/>
                <w:i w:val="0"/>
                <w:iCs w:val="0"/>
                <w:color w:val="auto"/>
                <w:sz w:val="21"/>
                <w:szCs w:val="21"/>
                <w:u w:val="none"/>
                <w:lang w:val="en-US" w:eastAsia="zh-CN" w:bidi="ar"/>
              </w:rPr>
              <w:t xml:space="preserve">连接</w:t>
            </w:r>
            <w:r>
              <w:rPr>
                <w:rFonts w:hint="eastAsia" w:ascii="宋体" w:hAnsi="宋体" w:eastAsia="宋体" w:cs="宋体"/>
                <w:i w:val="0"/>
                <w:iCs w:val="0"/>
                <w:color w:val="auto"/>
                <w:sz w:val="21"/>
                <w:szCs w:val="21"/>
                <w:u w:val="none"/>
                <w:lang w:val="en-US" w:eastAsia="zh-CN" w:bidi="ar"/>
              </w:rPr>
              <w:t xml:space="preserve">牢固，工作可靠，原理正确。模型能直观地演示出吸气过程、压缩过程、做功过程及排气过程，在做功冲程时活塞到达上止点时，演示火花点火的灯泡应发光，点火完成后灯熄灭。底座尺寸： 165mm×105mm×22mm。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AG1-</w:t>
            </w:r>
            <w:r>
              <w:rPr>
                <w:rFonts w:hint="eastAsia" w:ascii="宋体" w:hAnsi="宋体" w:cs="宋体"/>
                <w:i w:val="0"/>
                <w:iCs w:val="0"/>
                <w:color w:val="auto"/>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柴油机模型</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塑料制成，高度300mm。由进气管、进气阀、排气管、排气阀、气缸、活塞、连杆、曲轴、喷油嘴、油针、齿轮、凸轮总成、手柄齿轮、介轮、挺杆等组成，外壳剖开，能看清内部结构。各部件比例适当，位置正确，</w:t>
            </w:r>
            <w:r>
              <w:rPr>
                <w:rFonts w:hint="eastAsia" w:ascii="宋体" w:hAnsi="宋体" w:cs="宋体"/>
                <w:i w:val="0"/>
                <w:iCs w:val="0"/>
                <w:color w:val="auto"/>
                <w:sz w:val="21"/>
                <w:szCs w:val="21"/>
                <w:u w:val="none"/>
                <w:lang w:val="en-US" w:eastAsia="zh-CN" w:bidi="ar"/>
              </w:rPr>
              <w:t xml:space="preserve">连接</w:t>
            </w:r>
            <w:r>
              <w:rPr>
                <w:rFonts w:hint="eastAsia" w:ascii="宋体" w:hAnsi="宋体" w:eastAsia="宋体" w:cs="宋体"/>
                <w:i w:val="0"/>
                <w:iCs w:val="0"/>
                <w:color w:val="auto"/>
                <w:sz w:val="21"/>
                <w:szCs w:val="21"/>
                <w:u w:val="none"/>
                <w:lang w:val="en-US" w:eastAsia="zh-CN" w:bidi="ar"/>
              </w:rPr>
              <w:t xml:space="preserve">牢固，工作可靠，原理正确。模型能直观地演示出吸气过程、压缩过程、做功过程及排气过程，在做功冲程时，油针应开启。底座尺寸：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165mm×105mm×22mm。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AG1-10</w:t>
            </w:r>
            <w:r>
              <w:rPr>
                <w:rFonts w:hint="eastAsia" w:ascii="宋体" w:hAnsi="宋体" w:cs="宋体"/>
                <w:i w:val="0"/>
                <w:iCs w:val="0"/>
                <w:color w:val="auto"/>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磁分子模型</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#1、外型长方体，全透明塑料盒，下底安插二十四枚小钢针，排列成四行，每行六枚，钢针安放二十四枚小磁针。外形尺寸：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150mm×100mm×19mm。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36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AG1-10</w:t>
            </w: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电机模型</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#1.立式结构,即转子的转轴为竖直方向。产品由集流环、电刷、电刷架、接线柱、U型支架、电枢、摇手、转轴、指示灯、开关、磁铁、上盖板、电路板等组成。起动电压4V。U型支架为塑料制，外尺寸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197mm×72mm×205mm。整体高度：280mm。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AG1-10</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电话原理模型</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#1、由示教板式、送话器、受话器及指示灯等组成。板面上印有电路及声波、振动波示意图，图形清晰醒目。工作额定电压：DC6～8V。板面尺寸：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420mm×300mm。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AG1-10</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物质的形态和变化</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#1、国家正式出版物，应符合新课标教学的要求，图面字迹清晰，图形、色调准确无误，铜版纸，印刷工艺精良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AG1-10</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物质的属性</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#1、国家正式出版物，应符合新课标教学的要求，图面字迹清晰，图形、色调准确无误，铜版纸，印刷工艺精良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12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AG1-10</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物质的结构与物体的尺度</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#1、不少于5张，每张幅面不小于540mm×780mm，纸张规格不低于100g铜版纸。印刷：彩色胶印。图形：逼真，色彩鲜明，线条清晰。适用教材：人教版或通用版。。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AG1-10</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新材料及其应用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#1、不少于5张，每张幅面不小于540mm×780mm，纸张规格：不小于100g铜版纸。印刷：彩色胶印。图形：逼真，色彩鲜明，线条清晰。适用教材：人教版或通用版。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AG1-10</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多种多样的运动形式</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#1、幅数2：纸张规格：不小于100g铜版纸。印刷：彩色胶印。图形：逼真，色彩鲜明，线条清晰。适用教材：人教版或通用版。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AG1-1</w:t>
            </w:r>
            <w:r>
              <w:rPr>
                <w:rFonts w:hint="eastAsia" w:ascii="宋体" w:hAnsi="宋体" w:cs="宋体"/>
                <w:i w:val="0"/>
                <w:iCs w:val="0"/>
                <w:color w:val="auto"/>
                <w:sz w:val="21"/>
                <w:szCs w:val="21"/>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机械运动和力</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#1、幅数15：纸张规格：不小于100g铜版纸。印刷：彩色胶印。图形：逼真，色彩鲜明，线条清晰。适用教材：人教版或通用版。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AG1-1</w:t>
            </w:r>
            <w:r>
              <w:rPr>
                <w:rFonts w:hint="eastAsia" w:ascii="宋体" w:hAnsi="宋体" w:cs="宋体"/>
                <w:i w:val="0"/>
                <w:iCs w:val="0"/>
                <w:color w:val="auto"/>
                <w:sz w:val="21"/>
                <w:szCs w:val="21"/>
                <w:u w:val="none"/>
                <w:lang w:val="en-US" w:eastAsia="zh-CN" w:bidi="ar"/>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声和光</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#1、幅数9：纸张规格：不小于100g铜版纸。印刷：彩色胶印。图形：逼真，色彩鲜明，线条清晰。适用教材：人教版或通用版。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AG1-11</w:t>
            </w:r>
            <w:r>
              <w:rPr>
                <w:rFonts w:hint="eastAsia" w:ascii="宋体" w:hAnsi="宋体" w:cs="宋体"/>
                <w:i w:val="0"/>
                <w:iCs w:val="0"/>
                <w:color w:val="auto"/>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电和磁</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#1、幅数14：纸张规格：不小于100克铜版纸。印刷：彩色胶印。图形：逼真，色彩鲜明，线条清晰。适用教材：人教版或通用版。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AG1-11</w:t>
            </w: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能量、能量的转化和转移</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#1、幅数2：纸张规格：不小于100g铜版纸。印刷：彩色胶印。图形：逼真，色彩鲜明，线条清晰。适用教材：人教版或通用版。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AG1-11</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机械能</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#1、幅数3：幅面:1000mm×700mm；纸张规格：不小于100g铜版纸。印刷：彩色胶印。图形：逼真，色彩鲜明，线条清晰。适用教材：人教版或通用版。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91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AG1-11</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内能</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#1、幅数4：幅面:1000mm×700mm；纸张规格：不小于100g铜版纸。印刷：彩色胶印。图形：逼真，色彩鲜明，线条清晰。适用教材：人教版或通用版。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AG1-11</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电磁能</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#1、幅数10：幅面:1000mm×700mm；纸张规格：不小于100g铜版纸。印刷：彩色胶印。图形：逼真，色彩鲜明，线条清晰。适用教材：人教版或通用版。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AG1-11</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能量守恒</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#1、幅数2：纸张规格：不小于100g铜版纸。印刷：彩色胶印。图形：逼真，色彩鲜明，线条清晰。适用教材：人教版或通用版。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AG1-11</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能源与可持续发展</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#1、应符合新课标教学的要求，图面字迹清晰，图形、色调准确无误，铜版纸，印刷工艺精良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AG1-11</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初中物理实验参考书</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彩色封面，胶印。目录内容包括：探究实验21种，即：光反射时的规律、平面镜成像、晶体融化、水的沸腾、串并电路中的电流和电压、变阻器改变灯泡亮度、电阻上的电流和电压、测量小灯泡、电磁铁、密度、刻度尺、测力计、摩擦力、杠杆、压力、浮力、斜面、吸热。还包括探究活动参考答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AG1-1</w:t>
            </w:r>
            <w:r>
              <w:rPr>
                <w:rFonts w:hint="eastAsia" w:ascii="宋体" w:hAnsi="宋体" w:cs="宋体"/>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初中物理实验手册</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#1、彩色封面，胶印。目录内容包括：通用、测量、专用仪器、模型、药品、</w:t>
            </w:r>
            <w:r>
              <w:rPr>
                <w:rFonts w:hint="eastAsia" w:ascii="宋体" w:hAnsi="宋体" w:cs="宋体"/>
                <w:i w:val="0"/>
                <w:iCs w:val="0"/>
                <w:color w:val="auto"/>
                <w:sz w:val="21"/>
                <w:szCs w:val="21"/>
                <w:u w:val="none"/>
                <w:lang w:val="en-US" w:eastAsia="zh-CN" w:bidi="ar"/>
              </w:rPr>
              <w:t xml:space="preserve">其他</w:t>
            </w:r>
            <w:r>
              <w:rPr>
                <w:rFonts w:hint="eastAsia" w:ascii="宋体" w:hAnsi="宋体" w:eastAsia="宋体" w:cs="宋体"/>
                <w:i w:val="0"/>
                <w:iCs w:val="0"/>
                <w:color w:val="auto"/>
                <w:sz w:val="21"/>
                <w:szCs w:val="21"/>
                <w:u w:val="none"/>
                <w:lang w:val="en-US" w:eastAsia="zh-CN" w:bidi="ar"/>
              </w:rPr>
              <w:t xml:space="preserve">实验材料和工具。还包括初中物理实验题库、物理名词中英文对照表、物理教学仪器配备标准。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2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学生分组实验仪器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115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AG2-01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#1．由铁环和3只脚组成。铁环内径：73mm ，外径：90mm，厚度4mm。三只脚与铁环焊接紧固，脚距相等，立放台上时圆环应与台面平行，所支承的容器不得有滑动。脚高：155mm，直径6mm。三脚架须经烤漆防锈处理，漆层均匀、牢固。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AG2-02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#1、由3个空心瓷棒、3根铁线串接组成，呈三角形。瓷棒外径不小于6mm。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AG2-03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#1.产品由铸铁矩形底座、立杆、烧瓶夹、大小铁环、垂直夹（2只）、平行夹组成。底座重约0.98kg，尺寸：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210×135mm；立杆直径约Φ12mm，一端有M10×18mm螺纹；烧杯夹为铁制，夹杆尺寸：Φ7*85mm；底座、烧杯夹和立杆表面作防锈处理。铁环材料直径约6mm，大环内径约98mm，柄长105mm；小环内径约58mm，柄长125mm。垂直和平行夹为铸铝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AG2-04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碘升华凝华管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玻璃密封管体和手柄组成，管体和手柄彼此独立，不连通。管的高度≥45mm，直径≥30mm。管内密封碘的质量≥0.1克。手柄长≥70mm，直径为Φ6±1mm。管体外形端正，玻璃熔接平滑均匀，无气泡、无条纹。管体在90℃热水中检测无泄漏（无气泡溢出）。管体应耐80℃温差的急冷骤热。升华与凝华的全过程耗时应≤2分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AG2-05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学生电源</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#1．输出电压：1.5V－9V直流稳压输出，每1.5V一档共六档。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#2.额定电流：1.5A。空载电压偏调：±（1％U标＋0.1V）。</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#3.电压稳定性：输入电压在198V－242V间变化，在满载时各档输出电压变化量不大于0.1V。</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#4.负载稳定性：输入电压保持220V不变，负载电流在0至满载范围内变化，各档输出电压变化量不大于1％U标＋0.1V。</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#5.纹波电压：电源电压保持220V，满载时各档纹波电压不大于3mv（有效值）。</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#6.过载保护：当输出电流在额定输出电流值的1.05－1.5倍间自动关断输出。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#7.短路保护：当输出电路短路时，仪器自动关断电压输出。工作电压：220V 50Hz。机箱采用全塑料注塑成型，外形尺寸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：190mm×160mm×95mm。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546"/>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AG2-06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#1.输出电压：交流输出：2V－12V，每2V</w:t>
            </w:r>
            <w:r>
              <w:rPr>
                <w:rFonts w:hint="eastAsia" w:ascii="宋体" w:hAnsi="宋体" w:cs="宋体"/>
                <w:i w:val="0"/>
                <w:iCs w:val="0"/>
                <w:color w:val="auto"/>
                <w:sz w:val="21"/>
                <w:szCs w:val="21"/>
                <w:u w:val="none"/>
                <w:lang w:val="en-US" w:eastAsia="zh-CN" w:bidi="ar"/>
              </w:rPr>
              <w:t xml:space="preserve">一档</w:t>
            </w:r>
            <w:r>
              <w:rPr>
                <w:rFonts w:hint="eastAsia" w:ascii="宋体" w:hAnsi="宋体" w:eastAsia="宋体" w:cs="宋体"/>
                <w:i w:val="0"/>
                <w:iCs w:val="0"/>
                <w:color w:val="auto"/>
                <w:sz w:val="21"/>
                <w:szCs w:val="21"/>
                <w:u w:val="none"/>
                <w:lang w:val="en-US" w:eastAsia="zh-CN" w:bidi="ar"/>
              </w:rPr>
              <w:t xml:space="preserve">；共六档；额定输出电流：5A。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#2.直流稳压输出，1.5V－12V，分1.5V、3V、4.5V、6V、9V、12V六档；额定输出电流：2A。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#3.直流大电流短时输出：40A，8秒自动关断。交流输出：a.各档空载电压不大于1.05 U标＋0.3V； b.各档满载电压不小于0.95 U标－0.3V。</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#4.直流稳压输出：a. 电压偏调：±（2％U标＋0.1V） b. 电压稳定性：输入电压在1</w:t>
            </w:r>
            <w:r>
              <w:rPr>
                <w:rFonts w:hint="eastAsia" w:ascii="宋体" w:hAnsi="宋体" w:eastAsia="宋体" w:cs="宋体"/>
                <w:i w:val="0"/>
                <w:iCs w:val="0"/>
                <w:color w:val="auto"/>
                <w:sz w:val="21"/>
                <w:szCs w:val="21"/>
                <w:u w:val="none"/>
                <w:lang w:val="en-US" w:eastAsia="zh-CN" w:bidi="ar"/>
              </w:rPr>
              <w:t xml:space="preserve">98V－242V件变化，在满载时各档输出电压变化量不大于2％U标＋0.1V。 c. 负载稳定性：输入电压保持220V不变，负载电流在0至满载范围内变化，各档输出电压变化量不大于2％U标＋0.1V。 d. 纹波电压：电源电压保持220V，满载时各档纹波电压不大于0.1％U标（有效值）。直流大电流短时输出电流大于10A时，20s±2s自动关断。输出短时电流为40A+10A，8 s±2自动关断 。过载保护：交流和直流稳压输出电流在额定电流值的1.05－1.5倍时，自动关断输出。 机箱采用全塑料注塑成型，外形尺寸：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250mm×200mm×115mm。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AG2-07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电池盒</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#1、4个电池盒为1组。仪器可放置1节1号电池。外形尺寸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81×43×29mm。各触点使用不锈钢材料；要求接触良好，整体结构结实牢固，ABS塑料件光滑、无毛刺。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AG2-08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木直尺</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木材制作，表面平整、无毛刺。木材材质应无裂纹、无伤痕，并经过脱脂干燥处理。尺身一面黄底，印有黑色刻线和数字，最小刻度为1毫米，每5毫米为一中格，每10毫米的刻线上标有数字。漆层色调美观、厚薄均匀、有足够的附着力。刻线和数字排列整齐端正，刻线粗细一致。米尺的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1000mm×25mm×8mm。全尺刻度累计误差≤2mm。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AG2-09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钢直尺</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#1、200mm,不锈钢制。最小分度值为1mm。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AG2-10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钢卷尺</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#1、2000mm，塑料外壳，有尺带锁紧装置。最小分度值为1mm。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AG2-11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热敏温度计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中学物理演示实验用。测量范围： -10～+100℃，线性刻度。由测温元件、单管直流放大器和机盒组成。工作电压：DC6V。注：应与演示用大型电表配套使用（灵敏度500uA-2mA）。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学生天平</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#1、仪器包括：主机(全金属材质）1台，横梁（金属材质）1件，大吊环2件，盛物盘2件，小吊耳2件，砝码1套。最大称量200g,感量20mg，不等臂偏差：3分度。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#1．最大称量200g，分度值0.2 g。 秤量允许误差为±0.5d(分度值)。砝码组合的总质量（包括标尺计量值）应不小于天平的最大秤量。冲压件表面应光洁平整，不应有毛刺、锋棱、裂纹。电镀件的镀层应色泽均匀，不应有露底和显见的麻点、水迹、擦伤等缺陷。油漆件表面应平整光滑，色泽均匀，不应有露底、起泡、挂漆、擦伤等缺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金属钩码</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#1、10g×1,20g×2,50g×2,200g×2。塑料盒包装。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电子停表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#1、0.1S,防水防震,数码显示，具有显示月、日、上下午时间和累计时间显示功能。秒表计时可选择简易计时。符合国标GB6050第一章要求。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#1、玻璃制。红液，0℃～100℃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直流电流表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#1.产品由测量机构、外壳等组成。指示面板与水平面成45度夹角。测量范围：（-0.2A~0~0.6A）（-1~0~3A）。仪表准确度等级：2.5级。对外界磁场的防御等级为Ⅲ级。规格：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130mm×95mm×90mm。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w:t>
            </w:r>
            <w:r>
              <w:rPr>
                <w:rFonts w:hint="eastAsia" w:ascii="宋体" w:hAnsi="宋体" w:cs="宋体"/>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直流电压表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#1.产品由测量机构、外壳等组成。指示面板与水平面成45度夹角。测量范围：（-1~0~3V）（-5~0~15V）。仪表准确度等级：2.5级。对外界磁场的防御等级为Ⅲ级。规格：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130mm×95mm×90mm。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w:t>
            </w:r>
            <w:r>
              <w:rPr>
                <w:rFonts w:hint="eastAsia" w:ascii="宋体" w:hAnsi="宋体" w:cs="宋体"/>
                <w:i w:val="0"/>
                <w:iCs w:val="0"/>
                <w:color w:val="auto"/>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灵敏电流计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#1.产品由测量机构、外壳等组成。指示面板与水平面成45度夹角。测量范围：±300μA内阻。仪表准确度等级：2.5级。对外界磁场的防御等级为Ⅲ级。规格：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130mm×95mm×90mm。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85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AG2-2</w:t>
            </w:r>
            <w:r>
              <w:rPr>
                <w:rFonts w:hint="eastAsia" w:ascii="宋体" w:hAnsi="宋体" w:cs="宋体"/>
                <w:i w:val="0"/>
                <w:iCs w:val="0"/>
                <w:color w:val="auto"/>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条形盒测力计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#1.10N。由方形弹簧盒（带刻板）、弹簧、提环、挂钩、指针等组成。零点可调。盒体外形尺寸：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150mm×35mm×18mm。最小刻度：0.2N。金属表面防锈处理。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AG2-2</w:t>
            </w: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条形盒测力计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#1、5N。由方形弹簧盒（带刻板）、弹簧、提环、挂钩、指针等组成。零点可调。盒体外形尺寸：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150mm×35mm×18mm。最小刻度：0.1N。金属表面防锈处理。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AG2-2</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条形盒测力计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#1、1N。由方形弹簧盒（带刻板）、弹簧、提环、挂钩、指针等组成。零点可调。盒体外形尺寸：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150mm×35mm×18mm。最小刻度：0.02N。金属表面防锈处理。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AG2-2</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平板测力计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#1、5N，由对疲劳弹簧、可调节指针、旋片及刻度板等构成，最小刻度值为0.1N，白色塑料面板或铝板。面板尺寸：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170mm×40mm×5mm。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AG2-2</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圆柱体组</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#1、以三种材料圆柱体组成，分别为铜、铁、铝制成，三只圆柱体几何尺寸完全相同，直径20mm,高32mm。塑料盒定位包装。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AG2-2</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立方体组</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#1.由铜、铁、铝、木材四种材料组成；四种材料均为25mm。木质致密，表面平整光滑，铁件电镀处理。塑料盒包装。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54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AG2-2</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运动和力实验器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水平板、斜面板、小车、过渡塑料片、毛巾，布，小球2个(金属球、塑料球），硬盒组成。水平板和斜面板用合页连接，宽度和厚度尺寸要一致，宽度118mm，厚度12mm。水平板长度525mm，斜面板长200mm，小车为塑料制品，尺寸不小于110mm×75mm×40mm，金属球直径为16mm；塑料球直径为15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AG2-2</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惯性演示器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#1、产品主要用于中学物理演示静止物体的惯性实验用。由铝合金底座、铝立柱、弹簧铁锁、金属片及钢球组成。底座采用铝合金型材制成，外形尺寸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为120mm×80mm×20mm。铝材中部为滑动槽，用于调节立柱位置时使用，调节应方便、可靠。立柱的顶端为球形凹窝，柱的直径为16mm，高20mm。弹簧锁为金属制品，锁的上面应有一开关</w:t>
            </w:r>
            <w:r>
              <w:rPr>
                <w:rFonts w:hint="eastAsia" w:ascii="宋体" w:hAnsi="宋体" w:cs="宋体"/>
                <w:i w:val="0"/>
                <w:iCs w:val="0"/>
                <w:color w:val="auto"/>
                <w:sz w:val="21"/>
                <w:szCs w:val="21"/>
                <w:u w:val="none"/>
                <w:lang w:val="en-US" w:eastAsia="zh-CN" w:bidi="ar"/>
              </w:rPr>
              <w:t xml:space="preserve">按钮</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按钮</w:t>
            </w:r>
            <w:r>
              <w:rPr>
                <w:rFonts w:hint="eastAsia" w:ascii="宋体" w:hAnsi="宋体" w:eastAsia="宋体" w:cs="宋体"/>
                <w:i w:val="0"/>
                <w:iCs w:val="0"/>
                <w:color w:val="auto"/>
                <w:sz w:val="21"/>
                <w:szCs w:val="21"/>
                <w:u w:val="none"/>
                <w:lang w:val="en-US" w:eastAsia="zh-CN" w:bidi="ar"/>
              </w:rPr>
              <w:t xml:space="preserve">控制锁舌,锁舌伸长长度约10mm。金属片直径33mm，中心有一小孔，孔径3mm。钢球直径约19mm，表面镀铬处理。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99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w:t>
            </w:r>
            <w:r>
              <w:rPr>
                <w:rFonts w:hint="eastAsia" w:ascii="宋体" w:hAnsi="宋体" w:cs="宋体"/>
                <w:i w:val="0"/>
                <w:iCs w:val="0"/>
                <w:color w:val="auto"/>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摩擦计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一块摩擦板和二块摩擦块组成。应附棉布、毛巾、木砂纸三种摩擦材料及固定的胶合板。摩擦板规格:600mm×60mm×10mm(误差在负2mm范围内）。摩擦块应采用塑料注塑成型摩擦面为木质（一个宽面一个窄面），规格应为：（110±5.4）mm×（50±3.9）mm×（35±3.9mm）。质量为50g±2g。摩擦块摩擦面的背面应各有两个放置钩码的孔，钩码孔直径应为28mm±1mm。在摩擦块一个端面的长方质心线上应设有挂钩。</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w:t>
            </w:r>
            <w:r>
              <w:rPr>
                <w:rFonts w:hint="eastAsia" w:ascii="宋体" w:hAnsi="宋体" w:cs="宋体"/>
                <w:i w:val="0"/>
                <w:iCs w:val="0"/>
                <w:color w:val="auto"/>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螺旋弹簧组</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#1、由钢丝绕成的螺旋弹簧5种一组组成。5种螺旋弹簧拉力限量分别为：5N，3N，2N，1N，0.5N。弹簧直径分别为：1mm、0.9mm、0.8mm、0.6mm、0.5mm。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AG2-3</w:t>
            </w:r>
            <w:r>
              <w:rPr>
                <w:rFonts w:hint="eastAsia" w:ascii="宋体" w:hAnsi="宋体" w:cs="宋体"/>
                <w:i w:val="0"/>
                <w:iCs w:val="0"/>
                <w:color w:val="auto"/>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阿基米德原理实验器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#1、产品由筒、圆柱体、溢液杯等组成。透明溢液杯内径65mm、高140mm、离杯口20mm处有一倾角的溢水嘴，溢水嘴长不小于15mm；透明筒筒内径50mm,高约50mm；圆柱体外径50mm,高约50mm，内装细砂，上部带挂环。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AG2-3</w:t>
            </w: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阿基米德原理及其应用实验器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透明溢杯、浮桶、塑料桶、圆柱体、铝柱二个组成。透明溢杯Φ65mm、高140mm、离杯口20mm处有一倾角的溢水嘴，溢水嘴长不小于15mm；塑料桶为透明，直径不小于35mm、高不小于100mm，侧面有0至90mm刻度标尺、底部有挂环；浮桶为半透明塑料制成，上下均有挂环、外形尺寸：Φ35mm、高80mm，内壁上有两条刻线、刻线距离10mm、外壁上有毫米刻度标示；圆柱体为金属材料制成，表面电镀处理，圆柱外径30mm、厚18mm,一端有挂环，铝柱直径30mm、厚10mm，其中一个有挂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AG2-3</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液体压强与深度关系实验器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组装式。产品由透明外筒、塑料接水槽、透明塑料深度实验筒及压强计等组成。透明外筒尺寸：外径104mm±1mm，高152mm±1mm。厚2mm±0.5mm。塑料接水槽尺寸为：200mm×125mm×35mm。透明塑料深度实验筒尺寸为：外径约30mm，高约190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AG2-3</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液体内部压强实验器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#1、本仪器由承压盒、支杆、胶膜等组成。承压盒的</w:t>
            </w:r>
            <w:r>
              <w:rPr>
                <w:rFonts w:hint="eastAsia" w:ascii="宋体" w:hAnsi="宋体" w:cs="宋体"/>
                <w:i w:val="0"/>
                <w:iCs w:val="0"/>
                <w:color w:val="auto"/>
                <w:sz w:val="21"/>
                <w:szCs w:val="21"/>
                <w:u w:val="none"/>
                <w:lang w:val="en-US" w:eastAsia="zh-CN" w:bidi="ar"/>
              </w:rPr>
              <w:t xml:space="preserve">内径</w:t>
            </w:r>
            <w:r>
              <w:rPr>
                <w:rFonts w:hint="eastAsia" w:ascii="宋体" w:hAnsi="宋体" w:eastAsia="宋体" w:cs="宋体"/>
                <w:i w:val="0"/>
                <w:iCs w:val="0"/>
                <w:color w:val="auto"/>
                <w:sz w:val="21"/>
                <w:szCs w:val="21"/>
                <w:u w:val="none"/>
                <w:lang w:val="en-US" w:eastAsia="zh-CN" w:bidi="ar"/>
              </w:rPr>
              <w:t xml:space="preserve">Φ36mm，转轴孔径Φ4mm。支杆由Φ4mm的低碳钢制成，一端弯解为90°±1°，表面油漆。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AG2-3</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微小压强计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#1、产品由U形玻璃管、刻度板、三通管、夹持柄等组成。量度范围：300mm。外形尺寸360×38×16mm.。U</w:t>
            </w:r>
            <w:r>
              <w:rPr>
                <w:rFonts w:hint="eastAsia" w:ascii="宋体" w:hAnsi="宋体" w:cs="宋体"/>
                <w:i w:val="0"/>
                <w:iCs w:val="0"/>
                <w:color w:val="auto"/>
                <w:sz w:val="21"/>
                <w:szCs w:val="21"/>
                <w:u w:val="none"/>
                <w:lang w:val="en-US" w:eastAsia="zh-CN" w:bidi="ar"/>
              </w:rPr>
              <w:t xml:space="preserve">型管用内径</w:t>
            </w:r>
            <w:r>
              <w:rPr>
                <w:rFonts w:hint="eastAsia" w:ascii="宋体" w:hAnsi="宋体" w:eastAsia="宋体" w:cs="宋体"/>
                <w:i w:val="0"/>
                <w:iCs w:val="0"/>
                <w:color w:val="auto"/>
                <w:sz w:val="21"/>
                <w:szCs w:val="21"/>
                <w:u w:val="none"/>
                <w:lang w:val="en-US" w:eastAsia="zh-CN" w:bidi="ar"/>
              </w:rPr>
              <w:t xml:space="preserve">均匀的玻璃管制成，其</w:t>
            </w:r>
            <w:r>
              <w:rPr>
                <w:rFonts w:hint="eastAsia" w:ascii="宋体" w:hAnsi="宋体" w:cs="宋体"/>
                <w:i w:val="0"/>
                <w:iCs w:val="0"/>
                <w:color w:val="auto"/>
                <w:sz w:val="21"/>
                <w:szCs w:val="21"/>
                <w:u w:val="none"/>
                <w:lang w:val="en-US" w:eastAsia="zh-CN" w:bidi="ar"/>
              </w:rPr>
              <w:t xml:space="preserve">内径</w:t>
            </w:r>
            <w:r>
              <w:rPr>
                <w:rFonts w:hint="eastAsia" w:ascii="宋体" w:hAnsi="宋体" w:eastAsia="宋体" w:cs="宋体"/>
                <w:i w:val="0"/>
                <w:iCs w:val="0"/>
                <w:color w:val="auto"/>
                <w:sz w:val="21"/>
                <w:szCs w:val="21"/>
                <w:u w:val="none"/>
                <w:lang w:val="en-US" w:eastAsia="zh-CN" w:bidi="ar"/>
              </w:rPr>
              <w:t xml:space="preserve">为4－6mm，壁厚不小于1mm。U形管竖直长度不小于365mm，两侧距离25±3mm。一端成喇叭口，另一端成“接头”状。三通管用外径为5.8mm的塑料制成，三个端头均为“接头”状。刻度板最小刻度为5mm，刻度总长为300mm。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AG2-3</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滑轮组</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#1、单滑轮2只，外径40mm。二并滑轮2组，外径40mm。滑轮框架结构均为封闭式，上下挂钩互成90°。轮盘、框架采用ABS塑料注塑制成。轮盘应转动灵活，轮盘沿</w:t>
            </w:r>
            <w:r>
              <w:rPr>
                <w:rFonts w:hint="eastAsia" w:ascii="宋体" w:hAnsi="宋体" w:cs="宋体"/>
                <w:i w:val="0"/>
                <w:iCs w:val="0"/>
                <w:color w:val="auto"/>
                <w:sz w:val="21"/>
                <w:szCs w:val="21"/>
                <w:u w:val="none"/>
                <w:lang w:val="en-US" w:eastAsia="zh-CN" w:bidi="ar"/>
              </w:rPr>
              <w:t xml:space="preserve">轴向窜动</w:t>
            </w:r>
            <w:r>
              <w:rPr>
                <w:rFonts w:hint="eastAsia" w:ascii="宋体" w:hAnsi="宋体" w:eastAsia="宋体" w:cs="宋体"/>
                <w:i w:val="0"/>
                <w:iCs w:val="0"/>
                <w:color w:val="auto"/>
                <w:sz w:val="21"/>
                <w:szCs w:val="21"/>
                <w:u w:val="none"/>
                <w:lang w:val="en-US" w:eastAsia="zh-CN" w:bidi="ar"/>
              </w:rPr>
              <w:t xml:space="preserve">距离不大于1.5mm。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121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AG2-3</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杠杆</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#1、塑料制品。本产品由杠杆、轴、调平装置组成。外形尺寸：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520mm×28mm×7mm。杠杆尺正面刻印厘米单位刻线，线宽不大于1.5mm，每5厘米印一长线并注数字，数字下面有挂孔。杠杆尺两端装有调平螺杆和调平螺母，表面均镀锌。螺母重不大于10g，每个螺杆可调</w:t>
            </w:r>
            <w:r>
              <w:rPr>
                <w:rFonts w:hint="eastAsia" w:ascii="宋体" w:hAnsi="宋体" w:cs="宋体"/>
                <w:i w:val="0"/>
                <w:iCs w:val="0"/>
                <w:color w:val="auto"/>
                <w:sz w:val="21"/>
                <w:szCs w:val="21"/>
                <w:u w:val="none"/>
                <w:lang w:val="en-US" w:eastAsia="zh-CN" w:bidi="ar"/>
              </w:rPr>
              <w:t xml:space="preserve">螺纹</w:t>
            </w:r>
            <w:r>
              <w:rPr>
                <w:rFonts w:hint="eastAsia" w:ascii="宋体" w:hAnsi="宋体" w:eastAsia="宋体" w:cs="宋体"/>
                <w:i w:val="0"/>
                <w:iCs w:val="0"/>
                <w:color w:val="auto"/>
                <w:sz w:val="21"/>
                <w:szCs w:val="21"/>
                <w:u w:val="none"/>
                <w:lang w:val="en-US" w:eastAsia="zh-CN" w:bidi="ar"/>
              </w:rPr>
              <w:t xml:space="preserve">长度25mm。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AG2-3</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力学实验盒</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#1、产品由条形盒测力计 1支、小车 1辆、钩码 4支、溢水杯 1个、圆柱体吊桶 1个、量杯 1个、小桌 1个、海绵 1块、量筒 1个、U型管 1支、乳胶管 1根、压强计 1支、压强杯 1支、多孔盖板 1个、单孔盖板 1支、气球 1个、止水夹 1个、杠杆尺 1根、立杆 1根、底座 1个、单滑轮 2个、二单滑轮 2个、横梁 1根、钢球 1个等组成。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33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w:t>
            </w:r>
            <w:r>
              <w:rPr>
                <w:rFonts w:hint="eastAsia" w:ascii="宋体" w:hAnsi="宋体" w:cs="宋体"/>
                <w:i w:val="0"/>
                <w:iCs w:val="0"/>
                <w:color w:val="auto"/>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量热器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#1、构造：1）外筒，2）盖架，3）量筒（铝制），4）护热套，5）接线盖塞，6）接线柱，7）接线棒，8）电热丝，9）橡皮塞，10）盖塞，11）搅拌器。技术要求：1）电热线为</w:t>
            </w:r>
            <w:r>
              <w:rPr>
                <w:rFonts w:hint="eastAsia" w:ascii="宋体" w:hAnsi="宋体" w:cs="宋体"/>
                <w:i w:val="0"/>
                <w:iCs w:val="0"/>
                <w:color w:val="auto"/>
                <w:sz w:val="21"/>
                <w:szCs w:val="21"/>
                <w:u w:val="none"/>
                <w:lang w:val="en-US" w:eastAsia="zh-CN" w:bidi="ar"/>
              </w:rPr>
              <w:t xml:space="preserve">镍铬</w:t>
            </w:r>
            <w:r>
              <w:rPr>
                <w:rFonts w:hint="eastAsia" w:ascii="宋体" w:hAnsi="宋体" w:eastAsia="宋体" w:cs="宋体"/>
                <w:i w:val="0"/>
                <w:iCs w:val="0"/>
                <w:color w:val="auto"/>
                <w:sz w:val="21"/>
                <w:szCs w:val="21"/>
                <w:u w:val="none"/>
                <w:lang w:val="en-US" w:eastAsia="zh-CN" w:bidi="ar"/>
              </w:rPr>
              <w:t xml:space="preserve">电阻线，阻值为2Ω或1Ω。2）电热丝工作状态中，电流为1.7~2A,电压6V时，100mL水通电10分钟时，</w:t>
            </w:r>
            <w:r>
              <w:rPr>
                <w:rFonts w:hint="eastAsia" w:ascii="宋体" w:hAnsi="宋体" w:cs="宋体"/>
                <w:i w:val="0"/>
                <w:iCs w:val="0"/>
                <w:color w:val="auto"/>
                <w:sz w:val="21"/>
                <w:szCs w:val="21"/>
                <w:u w:val="none"/>
                <w:lang w:val="en-US" w:eastAsia="zh-CN" w:bidi="ar"/>
              </w:rPr>
              <w:t xml:space="preserve">达到</w:t>
            </w:r>
            <w:r>
              <w:rPr>
                <w:rFonts w:hint="eastAsia" w:ascii="宋体" w:hAnsi="宋体" w:eastAsia="宋体" w:cs="宋体"/>
                <w:i w:val="0"/>
                <w:iCs w:val="0"/>
                <w:color w:val="auto"/>
                <w:sz w:val="21"/>
                <w:szCs w:val="21"/>
                <w:u w:val="none"/>
                <w:lang w:val="en-US" w:eastAsia="zh-CN" w:bidi="ar"/>
              </w:rPr>
              <w:t xml:space="preserve">温度10℃。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w:t>
            </w:r>
            <w:r>
              <w:rPr>
                <w:rFonts w:hint="eastAsia" w:ascii="宋体" w:hAnsi="宋体" w:cs="宋体"/>
                <w:i w:val="0"/>
                <w:iCs w:val="0"/>
                <w:color w:val="auto"/>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音叉</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音叉、橡皮槌、共鸣箱，频率256Hz，音叉应为45#碳钢制成，表面镀铬，四面平直棱角应整齐，音叉总长190mm，叉枝厚约5mm，两支股内间距8mm，圆柄Φ7mm。槌头为橡胶带木质手柄，直径不小于20mm，长度160mm，共鸣箱应采用实木制成，空心，箱体带音叉插孔，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300mm×90mm×50mm。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AG2-4</w:t>
            </w:r>
            <w:r>
              <w:rPr>
                <w:rFonts w:hint="eastAsia" w:ascii="宋体" w:hAnsi="宋体" w:cs="宋体"/>
                <w:i w:val="0"/>
                <w:iCs w:val="0"/>
                <w:color w:val="auto"/>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音叉</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#1、本仪器为单支系整块45号碳钢制成,表面镀烙,四面平直</w:t>
            </w:r>
            <w:r>
              <w:rPr>
                <w:rFonts w:hint="eastAsia" w:ascii="宋体" w:hAnsi="宋体" w:cs="宋体"/>
                <w:i w:val="0"/>
                <w:iCs w:val="0"/>
                <w:color w:val="auto"/>
                <w:sz w:val="21"/>
                <w:szCs w:val="21"/>
                <w:u w:val="none"/>
                <w:lang w:val="en-US" w:eastAsia="zh-CN" w:bidi="ar"/>
              </w:rPr>
              <w:t xml:space="preserve">棱角</w:t>
            </w:r>
            <w:r>
              <w:rPr>
                <w:rFonts w:hint="eastAsia" w:ascii="宋体" w:hAnsi="宋体" w:eastAsia="宋体" w:cs="宋体"/>
                <w:i w:val="0"/>
                <w:iCs w:val="0"/>
                <w:color w:val="auto"/>
                <w:sz w:val="21"/>
                <w:szCs w:val="21"/>
                <w:u w:val="none"/>
                <w:lang w:val="en-US" w:eastAsia="zh-CN" w:bidi="ar"/>
              </w:rPr>
              <w:t xml:space="preserve">整齐,总长为154mm,叉支厚5.5×8.5mm,圆柄.频率512</w:t>
            </w:r>
            <w:r>
              <w:rPr>
                <w:rFonts w:hint="eastAsia" w:ascii="宋体" w:hAnsi="宋体" w:cs="宋体"/>
                <w:i w:val="0"/>
                <w:iCs w:val="0"/>
                <w:color w:val="auto"/>
                <w:sz w:val="21"/>
                <w:szCs w:val="21"/>
                <w:u w:val="none"/>
                <w:lang w:val="en-US" w:eastAsia="zh-CN" w:bidi="ar"/>
              </w:rPr>
              <w:t xml:space="preserve">Hz</w:t>
            </w:r>
            <w:r>
              <w:rPr>
                <w:rFonts w:hint="eastAsia" w:ascii="宋体" w:hAnsi="宋体" w:eastAsia="宋体" w:cs="宋体"/>
                <w:i w:val="0"/>
                <w:iCs w:val="0"/>
                <w:color w:val="auto"/>
                <w:sz w:val="21"/>
                <w:szCs w:val="21"/>
                <w:u w:val="none"/>
                <w:lang w:val="en-US" w:eastAsia="zh-CN" w:bidi="ar"/>
              </w:rPr>
              <w:t xml:space="preserve">以钢印载明,其误差不大于±0.5周,另附有共鸣箱和橡皮击槌。橡皮击槌球直径25mm，木柄直径8mm长170mm；共鸣箱外形尺寸：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140mm×90mm×50mm。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AG2-4</w:t>
            </w: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发音齿轮</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#1、三片齿轮顶圆直径为Φ78mm。三片齿轮的齿数分别为  80、 60、 40齿，齿形角度为90°±1。三片齿轮相距23mm，装在转动轴上，轴下端为锥体，锥度为1∶20，大端直径为Φ10±0.1mm。零件表面防锈处理。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AG2-4</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单摆</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#1、由摆球、线绳组成。钢球直径19mm。摆球均沿直径方向钻孔，供穿线使用，钢球表面镀铬、抛光。摆球附悬线1根，长度均≥1100mm。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91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AG2-4</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密度计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#1.标准温度20℃，温度范围0～70℃，分度值为1度。密度范围：1.000～2.000。在液体中倾斜度不大于0.2分度值。</w:t>
            </w:r>
            <w:r>
              <w:rPr>
                <w:rFonts w:hint="eastAsia" w:ascii="宋体" w:hAnsi="宋体" w:cs="宋体"/>
                <w:i w:val="0"/>
                <w:iCs w:val="0"/>
                <w:color w:val="auto"/>
                <w:sz w:val="21"/>
                <w:szCs w:val="21"/>
                <w:u w:val="none"/>
                <w:lang w:val="en-US" w:eastAsia="zh-CN" w:bidi="ar"/>
              </w:rPr>
              <w:t xml:space="preserve">其他</w:t>
            </w:r>
            <w:r>
              <w:rPr>
                <w:rFonts w:hint="eastAsia" w:ascii="宋体" w:hAnsi="宋体" w:eastAsia="宋体" w:cs="宋体"/>
                <w:i w:val="0"/>
                <w:iCs w:val="0"/>
                <w:color w:val="auto"/>
                <w:sz w:val="21"/>
                <w:szCs w:val="21"/>
                <w:u w:val="none"/>
                <w:lang w:val="en-US" w:eastAsia="zh-CN" w:bidi="ar"/>
              </w:rPr>
              <w:t xml:space="preserve">性能指标应符合GB/T 17764－1999的有关规定。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AG2-4</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密度计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#1.标准温度20℃，温度范围10～70℃，分度值为1度。密度范围：0.700～1.000。在液体中倾斜度不大于0.2分度值。</w:t>
            </w:r>
            <w:r>
              <w:rPr>
                <w:rFonts w:hint="eastAsia" w:ascii="宋体" w:hAnsi="宋体" w:cs="宋体"/>
                <w:i w:val="0"/>
                <w:iCs w:val="0"/>
                <w:color w:val="auto"/>
                <w:sz w:val="21"/>
                <w:szCs w:val="21"/>
                <w:u w:val="none"/>
                <w:lang w:val="en-US" w:eastAsia="zh-CN" w:bidi="ar"/>
              </w:rPr>
              <w:t xml:space="preserve">其他</w:t>
            </w:r>
            <w:r>
              <w:rPr>
                <w:rFonts w:hint="eastAsia" w:ascii="宋体" w:hAnsi="宋体" w:eastAsia="宋体" w:cs="宋体"/>
                <w:i w:val="0"/>
                <w:iCs w:val="0"/>
                <w:color w:val="auto"/>
                <w:sz w:val="21"/>
                <w:szCs w:val="21"/>
                <w:u w:val="none"/>
                <w:lang w:val="en-US" w:eastAsia="zh-CN" w:bidi="ar"/>
              </w:rPr>
              <w:t xml:space="preserve">性能指标应符合GB/T 17764－1999的有关规定。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79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AG2-4</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空气压缩引火仪</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#1、由手柄、连杆、端盖、耐油橡皮圈、气缸体、底座等组成。手柄和底座为塑料制品。气缸体为透明塑料注塑成型，表面光洁、透明。</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AG2-4</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气体做功内能减少演示器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#1、热敏电阻演示。产品由透明圆筒（内装热敏电阻）、酒精容器（置于透明圆筒内）、底座、橡胶塞、橡皮管及电路组成。透明圆筒应采用透明聚苯乙烯塑料注塑成型，壁厚≥2mm，</w:t>
            </w:r>
            <w:r>
              <w:rPr>
                <w:rFonts w:hint="eastAsia" w:ascii="宋体" w:hAnsi="宋体" w:cs="宋体"/>
                <w:i w:val="0"/>
                <w:iCs w:val="0"/>
                <w:color w:val="auto"/>
                <w:sz w:val="21"/>
                <w:szCs w:val="21"/>
                <w:u w:val="none"/>
                <w:lang w:val="en-US" w:eastAsia="zh-CN" w:bidi="ar"/>
              </w:rPr>
              <w:t xml:space="preserve">外径</w:t>
            </w:r>
            <w:r>
              <w:rPr>
                <w:rFonts w:hint="eastAsia" w:ascii="宋体" w:hAnsi="宋体" w:eastAsia="宋体" w:cs="宋体"/>
                <w:i w:val="0"/>
                <w:iCs w:val="0"/>
                <w:color w:val="auto"/>
                <w:sz w:val="21"/>
                <w:szCs w:val="21"/>
                <w:u w:val="none"/>
                <w:lang w:val="en-US" w:eastAsia="zh-CN" w:bidi="ar"/>
              </w:rPr>
              <w:t xml:space="preserve">100mm，高150mm。筒壁厚度均匀，无裂纹；与底座粘接牢固，无漏气；表面光洁、透明度良好，无条纹、无缩迹。酒精容器为塑料制品，置于透明圆筒内，且与底座固定可靠。橡胶塞应与出气孔配合良好。底座应为盒体，整体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226mm×150mm×55mm，盒盖为底座，上面竖直固定透明圆筒、安装外接线柱、增益、调零</w:t>
            </w:r>
            <w:r>
              <w:rPr>
                <w:rFonts w:hint="eastAsia" w:ascii="宋体" w:hAnsi="宋体" w:cs="宋体"/>
                <w:i w:val="0"/>
                <w:iCs w:val="0"/>
                <w:color w:val="auto"/>
                <w:sz w:val="21"/>
                <w:szCs w:val="21"/>
                <w:u w:val="none"/>
                <w:lang w:val="en-US" w:eastAsia="zh-CN" w:bidi="ar"/>
              </w:rPr>
              <w:t xml:space="preserve">旋钮</w:t>
            </w:r>
            <w:r>
              <w:rPr>
                <w:rFonts w:hint="eastAsia" w:ascii="宋体" w:hAnsi="宋体" w:eastAsia="宋体" w:cs="宋体"/>
                <w:i w:val="0"/>
                <w:iCs w:val="0"/>
                <w:color w:val="auto"/>
                <w:sz w:val="21"/>
                <w:szCs w:val="21"/>
                <w:u w:val="none"/>
                <w:lang w:val="en-US" w:eastAsia="zh-CN" w:bidi="ar"/>
              </w:rPr>
              <w:t xml:space="preserve">及电源指示灯和开关。塑料管：长度≥300mm。演示效果可见度良好，直观明显。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14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AG2-4</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声热实验盒</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结构：采用小型组合式结构，插接方便。仪器盒（弦定位座） 1套 ；弦调节轴 2个；弦定位柱 2个； 三角形片 1片； 弦（粗、细长均为360mm） 各1根；弦支座 2根；喇叭  8欧 2个；喇叭固定板 1个； 喇叭罩 1个；薄膜板 1个； U形插片座 2个 ；穿线钢球 1个 ；小锤 1个  ；铜丝（Φ0.3-Φ0.5） 1根； 指针 1根； 立柱 2根；拉线杆 1个；白屏 1块；销轴 ；铜棒 1根；凡士林 1盒；蜡烛 1根； 定位螺丝 1根。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w:t>
            </w:r>
            <w:r>
              <w:rPr>
                <w:rFonts w:hint="eastAsia" w:ascii="宋体" w:hAnsi="宋体" w:cs="宋体"/>
                <w:i w:val="0"/>
                <w:iCs w:val="0"/>
                <w:color w:val="auto"/>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纸盘扬声器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#1、扬声器的阻抗8Ω，功率5W。扬声器无杂音，演示效果明显。外径：165mm。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w:t>
            </w:r>
            <w:r>
              <w:rPr>
                <w:rFonts w:hint="eastAsia" w:ascii="宋体" w:hAnsi="宋体" w:cs="宋体"/>
                <w:i w:val="0"/>
                <w:iCs w:val="0"/>
                <w:color w:val="auto"/>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手持式喇叭</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#1、手持式，塑料制。功能：</w:t>
            </w:r>
            <w:r>
              <w:rPr>
                <w:rFonts w:hint="eastAsia" w:ascii="宋体" w:hAnsi="宋体" w:cs="宋体"/>
                <w:i w:val="0"/>
                <w:iCs w:val="0"/>
                <w:color w:val="auto"/>
                <w:sz w:val="21"/>
                <w:szCs w:val="21"/>
                <w:u w:val="none"/>
                <w:lang w:val="en-US" w:eastAsia="zh-CN" w:bidi="ar"/>
              </w:rPr>
              <w:t xml:space="preserve">音量</w:t>
            </w:r>
            <w:r>
              <w:rPr>
                <w:rFonts w:hint="eastAsia" w:ascii="宋体" w:hAnsi="宋体" w:eastAsia="宋体" w:cs="宋体"/>
                <w:i w:val="0"/>
                <w:iCs w:val="0"/>
                <w:color w:val="auto"/>
                <w:sz w:val="21"/>
                <w:szCs w:val="21"/>
                <w:u w:val="none"/>
                <w:lang w:val="en-US" w:eastAsia="zh-CN" w:bidi="ar"/>
              </w:rPr>
              <w:t xml:space="preserve">调节、语音播放、音乐播放。口径150mm，高240mm，输出功率15W。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AG2-5</w:t>
            </w:r>
            <w:r>
              <w:rPr>
                <w:rFonts w:hint="eastAsia" w:ascii="宋体" w:hAnsi="宋体" w:cs="宋体"/>
                <w:i w:val="0"/>
                <w:iCs w:val="0"/>
                <w:color w:val="auto"/>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玻棒(附丝绸)</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#1、有机玻棒(附丝绸)，教师用。直径为12mm、长为295mm，一端为锥体，头部为球形状。丝绸尺寸不小于：150mm×150mm。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AG2-5</w:t>
            </w: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玻棒(附丝绸)</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有机</w:t>
            </w:r>
            <w:r>
              <w:rPr>
                <w:rFonts w:hint="eastAsia" w:ascii="宋体" w:hAnsi="宋体" w:eastAsia="宋体" w:cs="宋体"/>
                <w:i w:val="0"/>
                <w:iCs w:val="0"/>
                <w:color w:val="auto"/>
                <w:sz w:val="21"/>
                <w:szCs w:val="21"/>
                <w:u w:val="none"/>
                <w:lang w:val="en-US" w:eastAsia="zh-CN" w:bidi="ar"/>
              </w:rPr>
              <w:t xml:space="preserve">棱(附丝绸），学生用。直径为8mm、长为150mm，一端为锥体，头部为球形状。丝绸尺寸不小于：100mm×100mm。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AG2-5</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胶棒(附毛皮)</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#1、聚碳酸酯棒(附毛皮)，教师用。直径为12mm、长为295mm，一端为锥体，头部为球形状。毛皮尺寸不小于：100mm×100mm。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AG2-5</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胶棒(附毛皮)</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#1、聚碳酸酯棒(附毛皮)，学生用。直径为8mm、长为150mm，一端为锥体，头部为球形状。毛皮尺寸不小于：60mm×60mm。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w:t>
            </w:r>
            <w:r/>
          </w:p>
        </w:tc>
      </w:tr>
      <w:tr>
        <w:trPr>
          <w:trHeight w:val="142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AG2-5</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箔片验电器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教师用，一对装。产品由透明外壳、底座、金属球、导电杆、箔片等组成。外壳采用透明塑料注塑成型。金属球、导电杆用金属制成，表面镀铬处理。安装后无明显松动及歪斜现象。导电杆与外壳间应有绝缘套，安装后应无明显缝隙，取下方便，不致损坏箔片。金属箔片厚度不大于0.2mm，长度不小于20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AG2-5</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箔片验电器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#1、学生用，一对装。产品由透明外壳、导电杆、箔片组成。箔片</w:t>
            </w:r>
            <w:r>
              <w:rPr>
                <w:rFonts w:hint="eastAsia" w:ascii="宋体" w:hAnsi="宋体" w:cs="宋体"/>
                <w:i w:val="0"/>
                <w:iCs w:val="0"/>
                <w:color w:val="auto"/>
                <w:sz w:val="21"/>
                <w:szCs w:val="21"/>
                <w:u w:val="none"/>
                <w:lang w:val="en-US" w:eastAsia="zh-CN" w:bidi="ar"/>
              </w:rPr>
              <w:t xml:space="preserve">呈</w:t>
            </w:r>
            <w:r>
              <w:rPr>
                <w:rFonts w:hint="eastAsia" w:ascii="宋体" w:hAnsi="宋体" w:eastAsia="宋体" w:cs="宋体"/>
                <w:i w:val="0"/>
                <w:iCs w:val="0"/>
                <w:color w:val="auto"/>
                <w:sz w:val="21"/>
                <w:szCs w:val="21"/>
                <w:u w:val="none"/>
                <w:lang w:val="en-US" w:eastAsia="zh-CN" w:bidi="ar"/>
              </w:rPr>
              <w:t xml:space="preserve">条形。外壳采用透明塑料注塑成型，表面光洁明亮，无划痕。外形尺寸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为50mm×30mm×60mm。导电杆Φ4mm，高约45mm。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AG2-5</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指针验电器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一对装。产品由底脚、金属圆筒、绝缘套、金属杆、指针架、指针和接地接线柱组成。金属筒Φ170mm,表面烤漆。仪器整体结构：在底脚上装着一个金属圆筒，圆筒的前面装有透明玻璃，后面装有附标线的毛玻璃，上壁装有绝缘套筒，一根金属杆穿过套筒，插入圆筒内，金属杆下部装有竖直的指针架，一根指针装在指针架的水平轴上，并可绕轴灵活转动，圆筒下壁一侧装有一个接线柱，用来外壳接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AG2-5</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感应起电机</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环境温度：-10~40℃。起电盘直径：235mm。放电距离：在相对湿度为65%的环境中火花放电距离≥30mm。本仪器由底座、莱顿瓶、支架、放电叉绝缘柄、集电杆、放电叉杆、导电层、中和电刷（感应电刷）、电刷杆、上轴及上轴螺钉、莱顿瓶盖、导电弹簧、大皮带轮、连接片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33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w:t>
            </w:r>
            <w:r>
              <w:rPr>
                <w:rFonts w:hint="eastAsia" w:ascii="宋体" w:hAnsi="宋体" w:cs="宋体"/>
                <w:i w:val="0"/>
                <w:iCs w:val="0"/>
                <w:color w:val="auto"/>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枕形导体</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演示静电感应和感应起电。结构：二只金属制成的空心圆筒，空心圆筒外形尺寸为Φ60mm±1mm，高约68mm；一端为半球面，另一端为平口，将二只圆筒的平口对合起来，就成为一个枕形导体，每只导体均有绝缘支杆及底座。支杆为有机玻璃Φ12mm，高110mm；底座Φ85mm，高约13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副</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w:t>
            </w:r>
            <w:r>
              <w:rPr>
                <w:rFonts w:hint="eastAsia" w:ascii="宋体" w:hAnsi="宋体" w:cs="宋体"/>
                <w:i w:val="0"/>
                <w:iCs w:val="0"/>
                <w:color w:val="auto"/>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小灯座</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#1、螺旋灯座。底座塑料，尺寸：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74mm×34mm×10mm,工作电压不大于36V,工作电流不大于2.5A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AG2-6</w:t>
            </w:r>
            <w:r>
              <w:rPr>
                <w:rFonts w:hint="eastAsia" w:ascii="宋体" w:hAnsi="宋体" w:cs="宋体"/>
                <w:i w:val="0"/>
                <w:iCs w:val="0"/>
                <w:color w:val="auto"/>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单刀开关</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#1、由底座，接线柱，闸刀，刀座，刀承和绝缘手柄组成。底座：黑色塑料，尺寸：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74mm×34mm×10mm  ,工作电压不超过36V，工作电流不超过6A。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33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AG2-6</w:t>
            </w: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滑动变阻器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Ω，2A；产品由线绕瓷管、滑动头、滑杆、支架、接线柱等主要部件组成。有氧化膜绝缘层的铜镍合金电阻丝密绕在瓷管上。变阻器电阻值误差不超过±10%。变阻器能在环境温度-10℃至+40℃，相对湿度不大于85%的条件下连续工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AG2-6</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滑动变阻器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#1、50Ω，1.5A  ；电阻阻值误差≤10% ；绝缘层耐压1.5V ；工作温升≤300℃ ；绝缘电阻：≥20MΩ；耐压1.5kV不出现飞弧和击穿。 电接触：滑动头在滑动时电阻阻值应均匀化，不得有间断跳跃现象。触头机械压力：滑动头与电阻线、滑杆保持良好的弹性、接头应圆滑，压力均可，滑动应顺畅。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AG2-6</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滑动变阻器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Ω，3A；产品由线绕瓷管、滑动头、滑杆、支架、接线柱等主要部件组成。有氧化膜绝缘层的铜镍合金电阻丝密绕在瓷管上。变阻器电阻值误差不超过±10%。变阻器能在环境温度-10℃至+40℃，相对湿度不大于85%的条件下连续工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AG2-6</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电阻圈</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#1、电阻圈用康铜丝绕制而成，通过接线柱固定于长方形塑料座中。塑料座外形尺寸为：</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95mm×30mm×20mm。阻值：5Ω、10Ω、15Ω各一只。总阻值误差≤±1％。电阻丝表面应经过绝缘处理，线圈排列整齐。塑料座应牢固美观，并标明电阻圈的规格。接线柱与电阻丝要接触良好。在额定电流下工作后，电阻丝无明显变形，绝缘层不得剥落，塑料座无灼焦及开裂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AG2-6</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电阻定律演示器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#1、电学仪器，供中学演示金属导体电阻定律用。木质底板尺寸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：1050mm×130mm×15mm， 三种金属导线 分别为：铜丝（Φ0.5mm），铁丝（Φ0.5mm），镍铬丝（Φ0.5mm）2个组成。、三种线的有效长度均为1000mm。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97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AG2-6</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电阻定律实验器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#1、电学仪器，供中学演示金属导体电阻定律用。由塑料底板，三种金属导线 分别为：铜丝（Φ0.5mm），铁丝（Φ0.5mm），镍铬丝（Φ0.5mm）2条组成。有效长度均为500mm。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AG2-6</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演示电阻箱</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#1、采用插头式电阻箱的解剖形式，插接柱采用铜金属材质，用于演示插头式电阻箱的基本构造和原理。裸露式锰铜线绕丝，最大电工作流：2A（1Ω、2Ω）、1A（5Ω）。整体固定</w:t>
            </w:r>
            <w:r>
              <w:rPr>
                <w:rFonts w:hint="eastAsia" w:ascii="宋体" w:hAnsi="宋体" w:cs="宋体"/>
                <w:i w:val="0"/>
                <w:iCs w:val="0"/>
                <w:color w:val="auto"/>
                <w:sz w:val="21"/>
                <w:szCs w:val="21"/>
                <w:u w:val="none"/>
                <w:lang w:val="en-US" w:eastAsia="zh-CN" w:bidi="ar"/>
              </w:rPr>
              <w:t xml:space="preserve">在</w:t>
            </w:r>
            <w:r>
              <w:rPr>
                <w:rFonts w:hint="eastAsia" w:ascii="宋体" w:hAnsi="宋体" w:eastAsia="宋体" w:cs="宋体"/>
                <w:i w:val="0"/>
                <w:iCs w:val="0"/>
                <w:color w:val="auto"/>
                <w:sz w:val="21"/>
                <w:szCs w:val="21"/>
                <w:u w:val="none"/>
                <w:lang w:val="en-US" w:eastAsia="zh-CN" w:bidi="ar"/>
              </w:rPr>
              <w:t xml:space="preserve">木板上，附支脚，木板尺寸：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238mm×98mm×8mm。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988"/>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w:t>
            </w:r>
            <w:r>
              <w:rPr>
                <w:rFonts w:hint="eastAsia" w:ascii="宋体" w:hAnsi="宋体" w:cs="宋体"/>
                <w:i w:val="0"/>
                <w:iCs w:val="0"/>
                <w:color w:val="auto"/>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教学电阻箱</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#1、仪器采用胶木密封结构，电阻变换方式为开关式，电阻采</w:t>
            </w:r>
            <w:r>
              <w:rPr>
                <w:rFonts w:hint="eastAsia" w:ascii="宋体" w:hAnsi="宋体" w:cs="宋体"/>
                <w:i w:val="0"/>
                <w:iCs w:val="0"/>
                <w:color w:val="auto"/>
                <w:sz w:val="21"/>
                <w:szCs w:val="21"/>
                <w:u w:val="none"/>
                <w:lang w:val="en-US" w:eastAsia="zh-CN" w:bidi="ar"/>
              </w:rPr>
              <w:t xml:space="preserve">用</w:t>
            </w:r>
            <w:r>
              <w:rPr>
                <w:rFonts w:hint="eastAsia" w:ascii="宋体" w:hAnsi="宋体" w:eastAsia="宋体" w:cs="宋体"/>
                <w:i w:val="0"/>
                <w:iCs w:val="0"/>
                <w:color w:val="auto"/>
                <w:sz w:val="21"/>
                <w:szCs w:val="21"/>
                <w:u w:val="none"/>
                <w:lang w:val="en-US" w:eastAsia="zh-CN" w:bidi="ar"/>
              </w:rPr>
              <w:t xml:space="preserve">高稳定的漆包锰铜丝以无感方式绕于高频瓷管上和定值电阻，电阻制式为1：2：2：2：2。</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#2、主要性能：1）准确等级0.5级；2）阻值范围0～9999.9Ω，3）零位电阻小于0.05Ω；4）电路对外壳的金属部分的绝缘电阻大于20MΩ。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w:t>
            </w:r>
            <w:r>
              <w:rPr>
                <w:rFonts w:hint="eastAsia" w:ascii="宋体" w:hAnsi="宋体" w:cs="宋体"/>
                <w:i w:val="0"/>
                <w:iCs w:val="0"/>
                <w:color w:val="auto"/>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简式电阻箱</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#1、仪器采用</w:t>
            </w:r>
            <w:r>
              <w:rPr>
                <w:rFonts w:hint="eastAsia" w:ascii="宋体" w:hAnsi="宋体" w:cs="宋体"/>
                <w:i w:val="0"/>
                <w:iCs w:val="0"/>
                <w:color w:val="auto"/>
                <w:sz w:val="21"/>
                <w:szCs w:val="21"/>
                <w:u w:val="none"/>
                <w:lang w:val="en-US" w:eastAsia="zh-CN" w:bidi="ar"/>
              </w:rPr>
              <w:t xml:space="preserve">旋钮</w:t>
            </w:r>
            <w:r>
              <w:rPr>
                <w:rFonts w:hint="eastAsia" w:ascii="宋体" w:hAnsi="宋体" w:eastAsia="宋体" w:cs="宋体"/>
                <w:i w:val="0"/>
                <w:iCs w:val="0"/>
                <w:color w:val="auto"/>
                <w:sz w:val="21"/>
                <w:szCs w:val="21"/>
                <w:u w:val="none"/>
                <w:lang w:val="en-US" w:eastAsia="zh-CN" w:bidi="ar"/>
              </w:rPr>
              <w:t xml:space="preserve">式结构，外壳用塑料压制而成。阻值范围0～9999Ω，最小步进值为1Ω；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#2、各档电阻示值误差参照国家标准电阻箱相对误差公式。各档电阻的主要技术参数：1～9Ω，线绕电阻±1%，功率为3W；10～495Ω，RTL测量膜电阻±1%，功率为1W；500～9990Ω，RTL测量膜电阻±1%，功率为1/2W。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AG2-7</w:t>
            </w:r>
            <w:r>
              <w:rPr>
                <w:rFonts w:hint="eastAsia" w:ascii="宋体" w:hAnsi="宋体" w:cs="宋体"/>
                <w:i w:val="0"/>
                <w:iCs w:val="0"/>
                <w:color w:val="auto"/>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演示线路实验板</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插拼式。线路板由底板4块、电池夹6个、单极开关3个、双极开关1个、灯座3个、绕线电阻（4W5欧1个、10欧2个、15欧1个、20欧1个）、接线柱座6个、空位插座1个、镍铬丝直径0.3mm的3.3米、康铜丝直径0.3mm的1.1米、铁铬丝直径0.3mm的1.1米、电珠（3.8V4只、6.2V2只）、A符插座3个、V符插座3个、吊环14个、拼接肖30个、走线插座60个、三角插板5个、压杆和压钩各2个、各种规格连接导线若干。</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#2、底板共4块，采用塑料注塑成型。单板面积为360mm×240mm，分布96个小孔，纵横距离30mm。单台包装采用彩色纸盒包装。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AG2-7</w:t>
            </w: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初中电学演示箱</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#1、磁昅式。演示箱包括特大高清型磁吸式演示电流表（0-0.6A、0-3A，尺寸：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320*330*6mm）1个；特大高清型磁吸式演示电压表（0-3A、0-15V，尺寸：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320*330*6mm）1个；大型磁吸式演示电池盒（尺寸：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150*35*27mm）4个；大型磁吸式演示单刀单掷开关2</w:t>
            </w:r>
            <w:r>
              <w:rPr>
                <w:rFonts w:hint="eastAsia" w:ascii="宋体" w:hAnsi="宋体" w:eastAsia="宋体" w:cs="宋体"/>
                <w:i w:val="0"/>
                <w:iCs w:val="0"/>
                <w:color w:val="auto"/>
                <w:sz w:val="21"/>
                <w:szCs w:val="21"/>
                <w:u w:val="none"/>
                <w:lang w:val="en-US" w:eastAsia="zh-CN" w:bidi="ar"/>
              </w:rPr>
              <w:t xml:space="preserve">个；大型磁吸式演示单刀双掷开关1个；磁吸式演示滑动变阻器2个（20欧和50欧）；大型磁吸式演示灯座3个；演示用电动机模型1个；大型磁吸式定值电阻，5欧，10欧，15欧，20欧各1个；演示实验用电珠，灯泡5个2.5V；演示用鳄鱼夹导线10根；演示用电阻定律（康铜丝直径0.5mm、镍铬丝直径0.5mm和0.7mm各一根，底座尺寸：610*90*15mm）1个；发光二极管2个。铝合金教具实验箱（665mm*350mm*160mm）1个。灯座、发光二极管、定值电阻、单刀单掷、双掷的底座尺寸：115*60*15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42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AG2-7</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学生线路实验板</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#1、拼接式。线路板由实验板1块、电池盒4个、单极开关3个、灯座3个、5欧电阻座2个、10欧电阻座2个、走线插座6个、小灯泡及各种规格的导线构成。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#2、实验板由ABS工程塑料制成，单板面积为360×240mm，板面上均布等间距的96个小孔。包装采用彩色纸盒。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AG2-7</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单刀双掷开关</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#1、底座、接线柱，闸刀，刀座，双刀承和绝缘手柄组成。开关的最高工作电压36V，额定工作电流6A。底座为塑料制，尺寸：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77mm×35mm×9mm。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73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AG2-7</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双刀双掷开关</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#1、底座、接线柱，双闸刀，刀座，双刀承和绝缘手柄组成。开关的最高工作电压36V，额定工作电流6A。底座为塑料制，尺寸：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77mm×53mm×10mm。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AG2-7</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焦耳定律演示器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#1、产品由演示板、贮气盒两只，电阻：5Ω线绕电阻、玻璃管2根等组成。电源电压：直流稳压6V；电流小于2A。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#2、演示板采用塑料注塑成型，颜色为白色，外形尺寸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290mm×245mm×4mm；演示板上印刷有刻度线，每5mm为短刻线、10mm为长刻线，并标有数字，刻线数量不小于13条。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#3、贮气盒采用透明塑料制，尺寸：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78mm×78mm×30mm。在10分钟内，演示效果明显。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AG2-7</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焦耳定律实验器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#1、产品由演示板、贮气盒两只，电阻：5Ω线绕电阻、玻璃管2根等组成。电源电压：直流稳压6V；电流小于2A。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#2、演示板采用塑料注塑成型，颜色为白色，外形尺寸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290mm×245mm×4mm；演示板上印刷有刻度线，每5mm为短刻线、10mm为长刻线，并标有数字，刻线数量不小于13条。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#3、贮气盒采用透明塑料制，尺寸：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78mm×78mm×30mm。在10分钟内，演示效果明显。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AG2-7</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保险丝作用演示器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#1、手提式带支脚。面板尺寸；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450mm×310mm。面板布局合理、标志字迹清晰、插接使用方便。外接电压：220V 50Hz，电流表1只。应配置12V 21W灯泡1只，12V 10W灯泡1只。演示直观，可见度好。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5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w:t>
            </w:r>
            <w:r>
              <w:rPr>
                <w:rFonts w:hint="eastAsia" w:ascii="宋体" w:hAnsi="宋体" w:cs="宋体"/>
                <w:i w:val="0"/>
                <w:iCs w:val="0"/>
                <w:color w:val="auto"/>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玩具电动机</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#1、带座和风扇。产品由小电机、风叶、电机固定架、支架组成。风叶、固定架、支架采用塑料注塑成型。小电机：使用直流电压3V。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w:t>
            </w:r>
            <w:r>
              <w:rPr>
                <w:rFonts w:hint="eastAsia" w:ascii="宋体" w:hAnsi="宋体" w:cs="宋体"/>
                <w:i w:val="0"/>
                <w:iCs w:val="0"/>
                <w:color w:val="auto"/>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电子门铃</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#1、产品由门铃、开关及连接导线组成。门铃是通过开关控制，声频为音乐。电源电压为直流1.5V。门铃的外壳为塑料制。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AG2-8</w:t>
            </w:r>
            <w:r>
              <w:rPr>
                <w:rFonts w:hint="eastAsia" w:ascii="宋体" w:hAnsi="宋体" w:cs="宋体"/>
                <w:i w:val="0"/>
                <w:iCs w:val="0"/>
                <w:color w:val="auto"/>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条形磁铁</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#1、D-CG-LT-180，一对装，外形尺寸：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178mm×20mm×10mm。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AG2-8</w:t>
            </w: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蹄形磁铁</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#1、D-CG-LU-80，附衔铁。外形尺寸：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60mm×16mm×80mm。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AG2-8</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磁感线演示器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#1、产品由透明有机成型盒内装细铁粉、配条形磁铁组成。透明有机成型盒外形尺寸：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200mm×110mm×30mm，盒体下部一角应有释放铁粉的螺丝孔。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AG2-8</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立体磁感线演示器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演示器由圆形立体磁感线演示器组成；圆形立体磁感线演示器由铆有可自动转动的软铁小指针366个，透明塑料制成6块立片（相向60°）及条形磁铁或圆柱形磁铁组成。上下两圆片的直径为170mm，组装后的高度为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3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AG2-8</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磁感线演示板</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#1、产品由有孔塑料板、小磁针、脚及条形磁铁组成。塑料板为透明有机板注塑成形，内封小针576个，外形尺寸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为250mm×250mm。小磁针直径约1mm，长约4mm，为黑色，磁针在板内孔中应转动灵活。脚为塑料，高为12mm。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AG2-8</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电流磁场演示器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#1、产品由透明底座、方线圈、圆线圈、螺线管组成。底座尺寸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为：178×138×38mm。方线圈（60×60mm),圆线圈（Φ35mm），螺线管（Φ55mm）采用优质铜线。</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AG2-8</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菱形小磁针</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#1、一套16个，带底座，小磁针宽大于3mm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2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AG2-8</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翼形磁针</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#1.磁学仪器，供演示磁体的指向性和磁极的相互作用。有垂直翼形针体和支座两部分。一对装。磁针长度140mm、宽8mm，塑料底座直径70mm。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w:t>
            </w:r>
            <w:r>
              <w:rPr>
                <w:rFonts w:hint="eastAsia" w:ascii="宋体" w:hAnsi="宋体" w:cs="宋体"/>
                <w:i w:val="0"/>
                <w:iCs w:val="0"/>
                <w:color w:val="auto"/>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小型电动机实验器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#1、模型主要由机架、转子、转轴螺钉、磁钢、磁钢架、换向器、电刷、接线柱、一字螺丝刀、扳手、连接导线组成。机架用优质工程塑料制作，外形尺寸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为93.5mm×48.6mm×90.5mm，磁钢尺寸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为20mm×20mm×19.5mm，换向器、电刷用磷铜制作，连接导线两端为Y型线夹。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w:t>
            </w:r>
            <w:r>
              <w:rPr>
                <w:rFonts w:hint="eastAsia" w:ascii="宋体" w:hAnsi="宋体" w:cs="宋体"/>
                <w:i w:val="0"/>
                <w:iCs w:val="0"/>
                <w:color w:val="auto"/>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电磁铁实验器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#1、产品由螺旋管3支、铁芯2支、连接片1个、衔铁1个、铃声1个及塑料盒组成。铁芯直径5mm，长47mm。线圈骨架长44mm，为弹簧装置。盒体尺寸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：116mm×77mm×28mm。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w:t>
            </w:r>
            <w:r>
              <w:rPr>
                <w:rFonts w:hint="eastAsia" w:ascii="宋体" w:hAnsi="宋体" w:cs="宋体"/>
                <w:i w:val="0"/>
                <w:iCs w:val="0"/>
                <w:color w:val="auto"/>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电铃</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产品为立式结构，由电磁铁、衔铁、铁铃、衬板和底座组成。工作电压：直流3～6V。外形尺寸：约85mm×85mm×190mm。影响效果在15米范围内铃声清晰。电磁铁线圈的直流电阻为10～20Ω。衔铁的触点为铜质。电路导线的走向应醒目整齐。铁铃采用Φ55mm国产自行车铃盖。底板应放置平稳。</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AG2-9</w:t>
            </w: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演示电磁继电器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#1、演示用，主要由电磁系统和触点系统两部分组成。电磁系统包括：电磁线圈、铁芯、轭铁、衔铁，触点系统包括：常开、常闭触点各一对。卧式或立式吸合电流不大于48mA。金属表面电镀处理。底座尺寸：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167mm×106mm×22mm。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AG2-9</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电磁继电器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#1、分组用。主要由电磁线圈、铁芯、轭铁、衔铁、常开、常闭触点各一对等组成。底座外形尺寸：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70mm×50mm×10mm。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358"/>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AG2-9</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磁场对电流作用实验器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#1、仪器由底座、U型磁钢架、活动轨道2根、空心铜管（导电管）、框架1套、连接导线2根组成。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#2、底座应采用塑料注塑成型，表面平整光滑，无变形现象，外形尺寸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165mm×106mm×23mm，底座上应有外接用接线柱和活动导轨用四个插孔。</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#3、U型磁钢架外形尺寸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98mm×40mm×74mm，内置两块永磁铁。磁铁固定在U型架上可靠。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#4、接入电源DC4V-6V；活动轨道直径3.5mm，长140mm，两端为弹性插头，插接方便，固定可靠。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#5、空心铜管外径5mm,内径4mm,长100mm。框架外形尺寸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80mm×72mm，附两根接线带叉。附带鱼夹头导线两根（一红一黑）。</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AG2-9</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能的转化实验器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#1、产品由底座、电机、支架、手轮、电池盒、风叶、发光二极管及开关组成。底座采用塑料注塑成型，外形尺寸：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145mm×100mm×20mm。所有组件均安装在底座上，底座上印刷线路应正确、清晰。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AG2-9</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磁悬浮演示器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1、仪器由底座，浮体及挡板组成。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66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AG2-9</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原副线圈</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原副线圈由原线圈、副线圈、软铁芯三部分组成。 原线圈骨架：圆筒内径 11mm；圆筒外径 15mm；绕线宽度 57mm。 付线圈骨架：圆筒内径 24mm；圆筒外径 30mm；绕线宽度 50mm。铁芯：Φ 10mm；长度 不小于77mm。 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60mm×40mm×88mm。 原</w:t>
            </w:r>
            <w:r>
              <w:rPr>
                <w:rFonts w:hint="eastAsia" w:ascii="宋体" w:hAnsi="宋体" w:cs="宋体"/>
                <w:i w:val="0"/>
                <w:iCs w:val="0"/>
                <w:color w:val="auto"/>
                <w:sz w:val="21"/>
                <w:szCs w:val="21"/>
                <w:u w:val="none"/>
                <w:lang w:val="en-US" w:eastAsia="zh-CN" w:bidi="ar"/>
              </w:rPr>
              <w:t xml:space="preserve">副线圈</w:t>
            </w:r>
            <w:r>
              <w:rPr>
                <w:rFonts w:hint="eastAsia" w:ascii="宋体" w:hAnsi="宋体" w:eastAsia="宋体" w:cs="宋体"/>
                <w:i w:val="0"/>
                <w:iCs w:val="0"/>
                <w:color w:val="auto"/>
                <w:sz w:val="21"/>
                <w:szCs w:val="21"/>
                <w:u w:val="none"/>
                <w:lang w:val="en-US" w:eastAsia="zh-CN" w:bidi="ar"/>
              </w:rPr>
              <w:t xml:space="preserve">骨架用黑色塑料制成，表面光洁。付线圈底座平整，直立于平面时不应晃动。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AG2-9</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光具盘</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#1、分离型、磁吸附式。矩形光盘长≥650 mm，宽≥240 mm；圆形光盘直径≥245 mm。盘面分四个象限，以一条直径为始边，分别刻有0°～90°刻度。半导体激光光源，可显示 5条平行光。光学零件：梯形玻砖 1 件，等腰直角棱镜 1 件，半圆柱透镜 1 件，小双凹柱透镜 1 件，小双凸柱透镜 1 件，大双凸柱透镜 1 件，平面镜 1 件，凹凸柱面镜 1 件，正三棱镜 2 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w:t>
            </w:r>
            <w:r>
              <w:rPr>
                <w:rFonts w:hint="eastAsia" w:ascii="宋体" w:hAnsi="宋体" w:cs="宋体"/>
                <w:i w:val="0"/>
                <w:iCs w:val="0"/>
                <w:color w:val="auto"/>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凹面镜</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基本配置为面镜、镜框、支架、镜座（各1个）组成；凹面镜的直径为100±2mm；焦距为65±10mm；基片采用普通玻璃制成，在距基片中心三分之二半径范围内，不得有目测到的气泡、结石和条纹；反射膜镀层应均匀，有牢固的保护层；镜框、支架、镜座均为塑料结构，整机应有足够的稳度；镜面可前后移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w:t>
            </w:r>
            <w:r>
              <w:rPr>
                <w:rFonts w:hint="eastAsia" w:ascii="宋体" w:hAnsi="宋体" w:cs="宋体"/>
                <w:i w:val="0"/>
                <w:iCs w:val="0"/>
                <w:color w:val="auto"/>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凸面镜</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基本配置为面镜、镜框、支架、镜座（各1个）组成；凸面镜的直径为100±2mm；焦距为-65±10mm；基片采用普通玻璃制成，在距基片中心三分之二半径范围内，不得有目测到的气泡、结石和条纹；反射膜镀层应均匀，有牢固的保护层；镜框、支架、镜座均为塑料结构，整机应有足够的稳度；镜面可前后移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122"/>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AG2-10</w:t>
            </w:r>
            <w:r>
              <w:rPr>
                <w:rFonts w:hint="eastAsia" w:ascii="宋体" w:hAnsi="宋体" w:cs="宋体"/>
                <w:i w:val="0"/>
                <w:iCs w:val="0"/>
                <w:color w:val="auto"/>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玻璃砖</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#1、长方形玻璃砖。外形尺寸：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80mm×45mm×15mm。</w:t>
            </w:r>
            <w:r>
              <w:rPr>
                <w:rFonts w:hint="eastAsia" w:ascii="宋体" w:hAnsi="宋体" w:cs="宋体"/>
                <w:i w:val="0"/>
                <w:iCs w:val="0"/>
                <w:color w:val="auto"/>
                <w:sz w:val="21"/>
                <w:szCs w:val="21"/>
                <w:u w:val="none"/>
                <w:lang w:val="en-US" w:eastAsia="zh-CN" w:bidi="ar"/>
              </w:rPr>
              <w:t xml:space="preserve">两端</w:t>
            </w:r>
            <w:r>
              <w:rPr>
                <w:rFonts w:hint="eastAsia" w:ascii="宋体" w:hAnsi="宋体" w:eastAsia="宋体" w:cs="宋体"/>
                <w:i w:val="0"/>
                <w:iCs w:val="0"/>
                <w:color w:val="auto"/>
                <w:sz w:val="21"/>
                <w:szCs w:val="21"/>
                <w:u w:val="none"/>
                <w:lang w:val="en-US" w:eastAsia="zh-CN" w:bidi="ar"/>
              </w:rPr>
              <w:t xml:space="preserve">侧面和一正面磨砂，</w:t>
            </w:r>
            <w:r>
              <w:rPr>
                <w:rFonts w:hint="eastAsia" w:ascii="宋体" w:hAnsi="宋体" w:cs="宋体"/>
                <w:i w:val="0"/>
                <w:iCs w:val="0"/>
                <w:color w:val="auto"/>
                <w:sz w:val="21"/>
                <w:szCs w:val="21"/>
                <w:u w:val="none"/>
                <w:lang w:val="en-US" w:eastAsia="zh-CN" w:bidi="ar"/>
              </w:rPr>
              <w:t xml:space="preserve">其他</w:t>
            </w:r>
            <w:r>
              <w:rPr>
                <w:rFonts w:hint="eastAsia" w:ascii="宋体" w:hAnsi="宋体" w:eastAsia="宋体" w:cs="宋体"/>
                <w:i w:val="0"/>
                <w:iCs w:val="0"/>
                <w:color w:val="auto"/>
                <w:sz w:val="21"/>
                <w:szCs w:val="21"/>
                <w:u w:val="none"/>
                <w:lang w:val="en-US" w:eastAsia="zh-CN" w:bidi="ar"/>
              </w:rPr>
              <w:t xml:space="preserve">三面为光面。玻璃砖精加工面不允许有目测划痕和砂眼，边缘</w:t>
            </w:r>
            <w:r>
              <w:rPr>
                <w:rFonts w:hint="eastAsia" w:ascii="宋体" w:hAnsi="宋体" w:cs="宋体"/>
                <w:i w:val="0"/>
                <w:iCs w:val="0"/>
                <w:color w:val="auto"/>
                <w:sz w:val="21"/>
                <w:szCs w:val="21"/>
                <w:u w:val="none"/>
                <w:lang w:val="en-US" w:eastAsia="zh-CN" w:bidi="ar"/>
              </w:rPr>
              <w:t xml:space="preserve">不允</w:t>
            </w:r>
            <w:r>
              <w:rPr>
                <w:rFonts w:hint="eastAsia" w:ascii="宋体" w:hAnsi="宋体" w:eastAsia="宋体" w:cs="宋体"/>
                <w:i w:val="0"/>
                <w:iCs w:val="0"/>
                <w:color w:val="auto"/>
                <w:sz w:val="21"/>
                <w:szCs w:val="21"/>
                <w:u w:val="none"/>
                <w:lang w:val="en-US" w:eastAsia="zh-CN" w:bidi="ar"/>
              </w:rPr>
              <w:t xml:space="preserve">许有裂、碎、缺角。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AG2-10</w:t>
            </w: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光具座</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#1、产品由平凸透镜（Φ=50mm、F=300±12mm）1件、双凸透镜（Φ=30mm、F=50±3mm）1件、毛玻璃屏带支架（80mm×118mm）1件、1字屏（80mm×105mm）1件、</w:t>
            </w:r>
            <w:r>
              <w:rPr>
                <w:rFonts w:hint="eastAsia" w:ascii="宋体" w:hAnsi="宋体" w:eastAsia="宋体" w:cs="宋体"/>
                <w:i w:val="0"/>
                <w:iCs w:val="0"/>
                <w:color w:val="auto"/>
                <w:sz w:val="21"/>
                <w:szCs w:val="21"/>
                <w:u w:val="none"/>
                <w:lang w:val="en-US" w:eastAsia="zh-CN" w:bidi="ar"/>
              </w:rPr>
              <w:t xml:space="preserve">烛台1件、插杆5根、光源（DC6V、8W）配有Φ36mmF=50mm的双凸透镜1套、滑块4只、双凸透镜（Φ=40mm、F=100±3mm）1件、双凹透镜（Φ=30mm、F=-75±5mm）1件、白屏（80mm×105mm）1件、刻度尺1根、底座2件、导轨2根等组成。导轨采用不锈钢管制成，外径约16mm。标尺：总长约960mm,宽为18mm；刻线长度900mm,最小刻度为1mm。滑块采用ABS塑料注塑成型，滑块和支架的插杆孔中心在一条线上，指示刻线与标尺间隙约3mm。插杆直径约6mm，长约75mm，表面镀铬。</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AG2-10</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光具组</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光学元件、毛玻璃屏、1字屏、白屏、烛台、底座、插杆、支架及光源组成。平行光源：光源用电压6-8V，功率不小于3W的灯泡。透镜：F=100±2mm，Φ=40mm；F=50±2mm，Φ=30mm；F=300±12mm，Φ=50mm；F=-75±4.5mm，Φ=30mm。底座4只为塑料制品，底座上应有锁紧螺丝、可使插杆上下移动。插杆为金属制5根，表面电镀处理，直径6mm，长75mm，一端为连接丝杆为M4。</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AG2-10</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三棱镜</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#1．产品由三棱镜、托架、支柱、底座等组成。三棱镜体外形为正三棱柱，边长25mm，相邻两角为60±0.5°，棱长80mm。三棱镜体能作任意方向的转动，并能停止在任意位置。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AG2-10</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白光的色散与合成演示器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#1、由棱镜、棱镜台、白屏、支杆及光源等组成。棱镜为重量火石玻璃，顶角为60°。光源额定电压为6-8V。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AG2-10</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透镜及其应用实验器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#1、产品由凸透镜、凹透镜、支架和底座组成。凹凸透镜直径46mm。塑料框架及支杆，支杆直径10mm、长54mm。塑料底座直径64mm。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AG2-10</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平面镜成像实验器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#1、由平面镜1个、平面镜支架1对、带刻度三角尺、像物2个组成。平面镜尺寸约：120mm×70mm，厚度5mm。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463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AG2-10</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光的传播、反射、折射实验器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主要配置及特征参数：由演示板、红色激光光源、绿色激光光源、光学配件（凸凹面镜、半圆玻璃砖、双凸透镜、双凹透镜、梯形玻璃砖、等边三角形玻璃砖、直角等腰三角玻璃砖、平面镜）、漫反射镜、水箱圆盘等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#2.技术指标：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演示板：外形尺寸≥666*470mm（±5mm）；上下为铝型材结构，具有良好的抗拉强度，表面黑色氧化细喷砂处理,左右为ABS塑料精密注塑成型边框；表盘外径300mm，盘面分四个象限，以一条直径为始边，分别刻有 0°～90°刻度：功能描述：整体为磁吸附式结构，可吸附激光光源、水箱圆盘、光学配件等进行相应光学实验；</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光学零件：产品组成：凸凹面镜、半圆玻璃砖、双凸透镜、双凹透镜、梯形玻璃砖、等边三角形玻璃砖、直角等腰三角玻璃砖、平面镜；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规格：统一厚度20mm；主要材质：PMMA；工艺：精加工、抛光；功能描述：磁吸式，配合激光光源可直接或吸附在本演示板或其他磁性材料上进行光线折射等相应光学实验；</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水箱圆盘：规格：≥φ250mm*34mm（±5mm）；主要材质：PMMA；功能描述：磁吸式，可放入水等液体进行不同物质界面的折射实验；</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#3.能够完成的教学演示：光的传播；光的反射；光的折射。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w:t>
            </w:r>
            <w:r>
              <w:rPr>
                <w:rFonts w:hint="eastAsia" w:ascii="宋体" w:hAnsi="宋体" w:cs="宋体"/>
                <w:i w:val="0"/>
                <w:iCs w:val="0"/>
                <w:color w:val="auto"/>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激光笔</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#1、产品由塑胶笔身和激光头、</w:t>
            </w:r>
            <w:r>
              <w:rPr>
                <w:rFonts w:hint="eastAsia" w:ascii="宋体" w:hAnsi="宋体" w:cs="宋体"/>
                <w:i w:val="0"/>
                <w:iCs w:val="0"/>
                <w:color w:val="auto"/>
                <w:sz w:val="21"/>
                <w:szCs w:val="21"/>
                <w:u w:val="none"/>
                <w:lang w:val="en-US" w:eastAsia="zh-CN" w:bidi="ar"/>
              </w:rPr>
              <w:t xml:space="preserve">纽扣电池</w:t>
            </w:r>
            <w:r>
              <w:rPr>
                <w:rFonts w:hint="eastAsia" w:ascii="宋体" w:hAnsi="宋体" w:eastAsia="宋体" w:cs="宋体"/>
                <w:i w:val="0"/>
                <w:iCs w:val="0"/>
                <w:color w:val="auto"/>
                <w:sz w:val="21"/>
                <w:szCs w:val="21"/>
                <w:u w:val="none"/>
                <w:lang w:val="en-US" w:eastAsia="zh-CN" w:bidi="ar"/>
              </w:rPr>
              <w:t xml:space="preserve">组成。</w:t>
            </w:r>
            <w:r>
              <w:rPr>
                <w:rFonts w:hint="eastAsia" w:ascii="宋体" w:hAnsi="宋体" w:cs="宋体"/>
                <w:i w:val="0"/>
                <w:iCs w:val="0"/>
                <w:color w:val="auto"/>
                <w:sz w:val="21"/>
                <w:szCs w:val="21"/>
                <w:u w:val="none"/>
                <w:lang w:val="en-US" w:eastAsia="zh-CN" w:bidi="ar"/>
              </w:rPr>
              <w:t xml:space="preserve">适用范围</w:t>
            </w:r>
            <w:r>
              <w:rPr>
                <w:rFonts w:hint="eastAsia" w:ascii="宋体" w:hAnsi="宋体" w:eastAsia="宋体" w:cs="宋体"/>
                <w:i w:val="0"/>
                <w:iCs w:val="0"/>
                <w:color w:val="auto"/>
                <w:sz w:val="21"/>
                <w:szCs w:val="21"/>
                <w:u w:val="none"/>
                <w:lang w:val="en-US" w:eastAsia="zh-CN" w:bidi="ar"/>
              </w:rPr>
              <w:t xml:space="preserve">7-15m，波长650 nm。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699"/>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光的三原色合成实验器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仪器使用光源为红、绿、蓝发光二极管。工作电压：DC4.5V内置（3节5号电池）也可外接电源，三色光分别为开关控制、实验时单色光斑在观察屏上的直径30±１mm（可直视）。三色光斑互相重叠部分呈白色，红、蓝色光斑重叠部分为品红色，红、绿色光斑重叠部分为黄色，蓝、绿色光斑重叠部分为青色，实验效果明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AG2-11</w:t>
            </w:r>
            <w:r>
              <w:rPr>
                <w:rFonts w:hint="eastAsia" w:ascii="宋体" w:hAnsi="宋体" w:cs="宋体"/>
                <w:i w:val="0"/>
                <w:iCs w:val="0"/>
                <w:color w:val="auto"/>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放大镜由透镜、镜框及压圈组成，有效通光孔径≥40mm。镜圈采用硬质塑料制成，表面平整清洁、无划痕、溶迹、缩迹、气泡和烧粉夹生现象，边缘无毛刺、变形、破边和凹凸不平。透镜用光学玻璃制成，表面应清洁无麻点、擦痕及划痕，外型端正、焦距正确。透镜与镜圈结合紧密，无晃动及透镜脱出现象。透镜成像清晰，无畸变现象，放大倍数≥3X。手把用塑料制成，表面平整、无划痕、溶迹、缩迹。手把与镜圈连接牢固，无断裂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AG2-11</w:t>
            </w: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AG2-11</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AG2-11</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AG2-11</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量杯</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AG2-11</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#1、Φ15mm×150mm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AG2-11</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#1、Φ30mm×200mm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AG2-11</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烧瓶</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#1、圆、长，500mL   </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AG2-12</w:t>
            </w:r>
            <w:r>
              <w:rPr>
                <w:rFonts w:hint="eastAsia" w:ascii="宋体" w:hAnsi="宋体" w:cs="宋体"/>
                <w:i w:val="0"/>
                <w:iCs w:val="0"/>
                <w:color w:val="auto"/>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烧瓶</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#1、平、长，250mL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AG2-12</w:t>
            </w: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AG2-12</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漏斗</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AG2-12</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平底管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#1、Φ12mm×150mm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AG2-12</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T形管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#1、T形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AG2-12</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可密封长玻璃管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#1、内径10mm×800mm，有胶塞，带刻度衬板</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AG2-12</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#1、不锈钢或不锈铁，小号125mm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AG2-12</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#1、由金属网和附在网上的石棉组成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玻璃管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#1、Φ7～Φ8mm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乳胶管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#1、5*7mm，乳胶制品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AG2-13</w:t>
            </w:r>
            <w:r>
              <w:rPr>
                <w:rFonts w:hint="eastAsia" w:ascii="宋体" w:hAnsi="宋体" w:cs="宋体"/>
                <w:i w:val="0"/>
                <w:iCs w:val="0"/>
                <w:color w:val="auto"/>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蒸发皿</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#1．瓷，Φ60-75mm，附中铁圈。皿口内径：Φ60mm±2mm；皿高约为外径的1/2。白色无杂色。</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电工材料</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#1、鳄鱼夹红黑各4个、香蕉插座红黑各4个、香蕉插头红黑各4个、电阻丝1根、接线叉红黑各4个、导线两色各1米。</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电子元件(工业产品)</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#1、线绕电阻（5Ω4W1只、10Ω4W1只、20Ω4W1只）、电阻(100Ω、200Ω、1KΩ、2KΩ、10KΩ、20KΩ、47KΩ、100KΩ、220KΩ)、电容（0.01pf、510pf、100pf、0.02pf</w:t>
            </w:r>
            <w:r>
              <w:rPr>
                <w:rFonts w:hint="eastAsia" w:ascii="宋体" w:hAnsi="宋体" w:eastAsia="宋体" w:cs="宋体"/>
                <w:i w:val="0"/>
                <w:iCs w:val="0"/>
                <w:color w:val="auto"/>
                <w:sz w:val="21"/>
                <w:szCs w:val="21"/>
                <w:u w:val="none"/>
                <w:lang w:val="en-US" w:eastAsia="zh-CN" w:bidi="ar"/>
              </w:rPr>
              <w:t xml:space="preserve">、0.1Mf各一）、电感2.5Mf、光敏电阻、干簧管、二极管（2AP9、4001各二）、发光二极管（Φ5、Φ8各二）、三极管（3AX、3AG、9013、9014、9018）、电解电容（10uf、100uf二只、470uf）、可控硅、小话筒、可变电阻47KΩ、电位器470KΩ、旋钮Φ6Φ4.5各一、可变电容203pf、功率放大集成电路一套、音乐集成电路、喇叭8Ω、磁棒天线、导线（60、100、150、200mm长各10根）、小灯座2个、灯泡、电池盒5号二只、开关（拨动式、按键式）、接线夹10个、松香、焊锡丝、</w:t>
            </w:r>
            <w:r>
              <w:rPr>
                <w:rFonts w:hint="eastAsia" w:ascii="宋体" w:hAnsi="宋体" w:cs="宋体"/>
                <w:i w:val="0"/>
                <w:iCs w:val="0"/>
                <w:color w:val="auto"/>
                <w:sz w:val="21"/>
                <w:szCs w:val="21"/>
                <w:u w:val="none"/>
                <w:lang w:val="en-US" w:eastAsia="zh-CN" w:bidi="ar"/>
              </w:rPr>
              <w:t xml:space="preserve">电烙铁</w:t>
            </w:r>
            <w:r>
              <w:rPr>
                <w:rFonts w:hint="eastAsia" w:ascii="宋体" w:hAnsi="宋体" w:eastAsia="宋体" w:cs="宋体"/>
                <w:i w:val="0"/>
                <w:iCs w:val="0"/>
                <w:color w:val="auto"/>
                <w:sz w:val="21"/>
                <w:szCs w:val="21"/>
                <w:u w:val="none"/>
                <w:lang w:val="en-US" w:eastAsia="zh-CN" w:bidi="ar"/>
              </w:rPr>
              <w:t xml:space="preserve">、连接板、螺批（十字、一字）。吸塑定位纸盒包装。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新材料样品</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#1、塑料盒体包装，上盖透明。盒底贴有标签（纳米材料、超导材料、形状记忆合金、单晶和多晶、光导纤维、隐形材料），尺寸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：206mm×125mm×35mm。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家庭电路器材</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#1、器材由空气开关、漏电保护器、螺丝口灯座、三孔插座、三孔插头、插入式保险盒、拉线开关、按钮开关、声控开关、光控开关、导线组成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一般材料</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锌片、铜片、磁性橡胶片、小钢球、乒乓球2个、大头针、回形针、保险管(1A、2A、3A、5A各2只)、焊锡、松香、橡皮泥2块、绝缘胶布、透明胶带、小蜡烛、塑料板、灯芯、玻璃板、毛巾、擦布、橡皮筋10根、气球2个、塑料袋、纸板2张。吸塑定位纸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彩色透光片</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#1、仪器由红、绿、蓝三个直径不小于60mm的透光片组成。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颜料的三原色</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#1、红、黄、蓝颜料各1支，调色盘1个及调色笔1支组成。调色盘为塑料，</w:t>
            </w:r>
            <w:r>
              <w:rPr>
                <w:rFonts w:hint="eastAsia" w:ascii="宋体" w:hAnsi="宋体" w:cs="宋体"/>
                <w:i w:val="0"/>
                <w:iCs w:val="0"/>
                <w:color w:val="auto"/>
                <w:sz w:val="21"/>
                <w:szCs w:val="21"/>
                <w:u w:val="none"/>
                <w:lang w:val="en-US" w:eastAsia="zh-CN" w:bidi="ar"/>
              </w:rPr>
              <w:t xml:space="preserve">内含</w:t>
            </w:r>
            <w:r>
              <w:rPr>
                <w:rFonts w:hint="eastAsia" w:ascii="宋体" w:hAnsi="宋体" w:eastAsia="宋体" w:cs="宋体"/>
                <w:i w:val="0"/>
                <w:iCs w:val="0"/>
                <w:color w:val="auto"/>
                <w:sz w:val="21"/>
                <w:szCs w:val="21"/>
                <w:u w:val="none"/>
                <w:lang w:val="en-US" w:eastAsia="zh-CN" w:bidi="ar"/>
              </w:rPr>
              <w:t xml:space="preserve">8个及颜料格和1个混合区。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测电笔</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#1、80-500V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#1、中号，塑料手柄，长度为160mm。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#1、中号，塑料手柄，长度为160mm。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尖嘴</w:t>
            </w:r>
            <w:r>
              <w:rPr>
                <w:rFonts w:hint="eastAsia" w:ascii="宋体" w:hAnsi="宋体" w:eastAsia="宋体" w:cs="宋体"/>
                <w:i w:val="0"/>
                <w:iCs w:val="0"/>
                <w:color w:val="auto"/>
                <w:sz w:val="21"/>
                <w:szCs w:val="21"/>
                <w:u w:val="none"/>
                <w:lang w:val="en-US" w:eastAsia="zh-CN" w:bidi="ar"/>
              </w:rPr>
              <w:t xml:space="preserve">钳</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#1、中号，其他符合执行QB/T 2442.3</w:t>
            </w:r>
            <w:r>
              <w:rPr>
                <w:rFonts w:hint="eastAsia" w:ascii="宋体" w:hAnsi="宋体" w:cs="宋体"/>
                <w:i w:val="0"/>
                <w:iCs w:val="0"/>
                <w:color w:val="auto"/>
                <w:sz w:val="21"/>
                <w:szCs w:val="21"/>
                <w:u w:val="none"/>
                <w:lang w:val="en-US" w:eastAsia="zh-CN" w:bidi="ar"/>
              </w:rPr>
              <w:t xml:space="preserve">-2007</w:t>
            </w:r>
            <w:r>
              <w:rPr>
                <w:rFonts w:hint="eastAsia" w:ascii="宋体" w:hAnsi="宋体" w:eastAsia="宋体" w:cs="宋体"/>
                <w:i w:val="0"/>
                <w:iCs w:val="0"/>
                <w:color w:val="auto"/>
                <w:sz w:val="21"/>
                <w:szCs w:val="21"/>
                <w:u w:val="none"/>
                <w:lang w:val="en-US" w:eastAsia="zh-CN" w:bidi="ar"/>
              </w:rPr>
              <w:t xml:space="preserve">标准。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投影片绘制工具</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#1、投影片绘制工具由12色油性彩色画笔、塑料三角板、塑料量角器及塑料直尺组成。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#1、纯白色，由布料制成，长度不小于90cm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#1、防强光，上部衰减10倍～20倍，下部透射比≥75％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手套</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#1、线织手套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望远镜</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#1、双筒，目镜口径30mm，物镜口径50mm。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天文望远镜</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#1.由镜筒、支架、脚架组成；镜筒由主镜和寻星镜两部分组成，两镜筒均为防尘密封式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机械停表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#1、0.1s</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机械停钟</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#1、0.1s</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电子停表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#1、教学用电子秒表，采用电子芯片，电池电压为1.5V。外包装应采用防潮、防尘的硬纸盒包装，盒面与盒体采用纽扣式</w:t>
            </w:r>
            <w:r>
              <w:rPr>
                <w:rFonts w:hint="eastAsia" w:ascii="宋体" w:hAnsi="宋体" w:cs="宋体"/>
                <w:i w:val="0"/>
                <w:iCs w:val="0"/>
                <w:color w:val="auto"/>
                <w:sz w:val="21"/>
                <w:szCs w:val="21"/>
                <w:u w:val="none"/>
                <w:lang w:val="en-US" w:eastAsia="zh-CN" w:bidi="ar"/>
              </w:rPr>
              <w:t xml:space="preserve">连接</w:t>
            </w:r>
            <w:r>
              <w:rPr>
                <w:rFonts w:hint="eastAsia" w:ascii="宋体" w:hAnsi="宋体" w:eastAsia="宋体" w:cs="宋体"/>
                <w:i w:val="0"/>
                <w:iCs w:val="0"/>
                <w:color w:val="auto"/>
                <w:sz w:val="21"/>
                <w:szCs w:val="21"/>
                <w:u w:val="none"/>
                <w:lang w:val="en-US" w:eastAsia="zh-CN" w:bidi="ar"/>
              </w:rPr>
              <w:t xml:space="preserve">。数据可精确到0.01s。秒表计时应带有简易计时、分段计时、两段时间显示，且必须带暂停按钮。秒表具有每小时报时，每日定时响闹及自动重响功能，应可显示时间，12及24小时制式，日历、星期、防水，防震结构等功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电子停钟</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#1、0.1s</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节拍器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#1、电子式、带拾音器、具有节拍、校音、定音等功能。节拍速度：20-200拍/分 ，拍子型：0、1、2、3、4、5、6、7、8、9，音量调节：</w:t>
            </w:r>
            <w:r>
              <w:rPr>
                <w:rFonts w:hint="eastAsia" w:ascii="宋体" w:hAnsi="宋体" w:cs="宋体"/>
                <w:i w:val="0"/>
                <w:iCs w:val="0"/>
                <w:color w:val="auto"/>
                <w:sz w:val="21"/>
                <w:szCs w:val="21"/>
                <w:u w:val="none"/>
                <w:lang w:val="en-US" w:eastAsia="zh-CN" w:bidi="ar"/>
              </w:rPr>
              <w:t xml:space="preserve">旋钮</w:t>
            </w:r>
            <w:r>
              <w:rPr>
                <w:rFonts w:hint="eastAsia" w:ascii="宋体" w:hAnsi="宋体" w:eastAsia="宋体" w:cs="宋体"/>
                <w:i w:val="0"/>
                <w:iCs w:val="0"/>
                <w:color w:val="auto"/>
                <w:sz w:val="21"/>
                <w:szCs w:val="21"/>
                <w:u w:val="none"/>
                <w:lang w:val="en-US" w:eastAsia="zh-CN" w:bidi="ar"/>
              </w:rPr>
              <w:t xml:space="preserve">调节，节拍误差：小于0.5%。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沙漏</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#1、计时仪器，塑料底座，透明玻璃体，内装细砂：尺寸：不小于（14.5*8cm）计时:30分钟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日晷</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由晷针、晷面及支撑底座组成。 结构可分为地平式、赤道式。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双向测力计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#1、双向，测量范围0-5N。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握力计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#1、手握式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拉力计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#1、由多根弹簧组成。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紫外线作用演示器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#1、电源：AC 220V+22V 50</w:t>
            </w:r>
            <w:r>
              <w:rPr>
                <w:rFonts w:hint="eastAsia" w:ascii="宋体" w:hAnsi="宋体" w:cs="宋体"/>
                <w:i w:val="0"/>
                <w:iCs w:val="0"/>
                <w:color w:val="auto"/>
                <w:sz w:val="21"/>
                <w:szCs w:val="21"/>
                <w:u w:val="none"/>
                <w:lang w:val="en-US" w:eastAsia="zh-CN" w:bidi="ar"/>
              </w:rPr>
              <w:t xml:space="preserve">Hz</w:t>
            </w:r>
            <w:r>
              <w:rPr>
                <w:rFonts w:hint="eastAsia" w:ascii="宋体" w:hAnsi="宋体" w:eastAsia="宋体" w:cs="宋体"/>
                <w:i w:val="0"/>
                <w:iCs w:val="0"/>
                <w:color w:val="auto"/>
                <w:sz w:val="21"/>
                <w:szCs w:val="21"/>
                <w:u w:val="none"/>
                <w:lang w:val="en-US" w:eastAsia="zh-CN" w:bidi="ar"/>
              </w:rPr>
              <w:t xml:space="preserve"> ；6W日光灯；254nm紫外线灯  ；365nm紫外线灯 ；滤色片：52nm*70nm红、黄、蓝、绿各一片6、荧光片。通过与日光灯的比较，证实紫外线的存在，通过两种波长不同的紫外线灯发出的强烈紫外线，来说明紫外线的荧光、感光、产生臭氧的等性</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红外线作用演示器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#1、分红外线发现实验器、红外线性质说明器和红外线控制器三只仪器。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手持直视分光镜</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#1、用于观察由炽热的固体或液体发出的光所生成的连续光谱或太阳光谱等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克罗克斯辐射计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#1、底座直径8cm ,球直径9cm.整体高度不小于20cm。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007"/>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伽利略理想斜面演示器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#1.主要配置及特征参数：由轨道型材底座、面板、导轨支架、塑料轨道、钢球等组成；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#2.轨道型材底座：尺寸规格：≥1200*80*25.4mm（±5mm）；材质工艺：铝，挤压拉模成型；表面处理工艺：黑色阳极氧化处理；功能描述：为塑料轨道提供安装固定的底座；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板面：尺寸规格：≥1200*230*5mm（±5mm）；材质工艺：黑色亚克力，雕刻机一体成型；表面处理工艺：双色精密丝印；功能描述：使得塑料轨道一端可调节不同的高度；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#3.能够完成的教学演示：伽利略理想斜面实验。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气体浮力演示器</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#1.主要配置及特征参数：抽气式，由透明筒、密封盖、泡沫柱、杠杆、游码、气阀等组成；能够完成的教学演示：气体对进入其中的物体会产生浮力。</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95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数字温度计</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#1.基础参数：1）产品材质：ABS工程塑料（坚固耐用，抗摔抗腐蚀）；2）主机：</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长290mm×宽100mm×高318mm；3）探针长度：120mm×φ5mm（可深入测量不同深度的物体温度）；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#2.温度测量参数：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1）测温范围：-50℃-300℃（满足实验及工业级多种温度测量需求）；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2）精度：±1℃（高精度测量，确保数据准确性）；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3）分辨率：0.1℃（能精确显示细微温度变化）；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4）响应时间：≤2秒（快速获取温度数据，提高工作效率）；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#3.显示屏参数：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1）类型：数码管双显示屏；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2）主屏尺寸：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240mm×64mm（清晰显示温度数值）；</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3）小屏尺寸：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62mm×20mm（清晰监视温度数值）；</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4）实时温度值（大字体显示，醒目易读）；</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5）测温单位（℃）；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#4.电源参数：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1）供电方式：电源适配器DC-12v；</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2）负温度超出量程显示：E50.0；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3)高温度超出量程显示：E300。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体重秤</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#1.量程0kg〜150kg，分度值1kg；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橡胶塞</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#1、0～4号，应选用白色胶塞，质地均匀。</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AG2-1</w:t>
            </w:r>
            <w:r>
              <w:rPr>
                <w:rFonts w:hint="eastAsia" w:ascii="宋体" w:hAnsi="宋体" w:cs="宋体"/>
                <w:i w:val="0"/>
                <w:iCs w:val="0"/>
                <w:color w:val="auto"/>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电吹风</w:t>
            </w:r>
            <w:r/>
          </w:p>
        </w:tc>
        <w:tc>
          <w:tcPr>
            <w:shd w:val="clear" w:color="auto" w:fill="auto"/>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#1、高转速马达，68米/秒高风速；快速干发智能恒温芯片59db低分贝。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bl>
    <w:p>
      <w:pPr>
        <w:jc w:val="left"/>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r>
      <w:r/>
    </w:p>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r>
      <w:r/>
    </w:p>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r>
      <w:r/>
    </w:p>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r>
      <w:r/>
    </w:p>
    <w:tbl>
      <w:tblPr>
        <w:tblStyle w:val="727"/>
        <w:tblW w:w="10333"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6"/>
        <w:gridCol w:w="1351"/>
        <w:gridCol w:w="6615"/>
        <w:gridCol w:w="735"/>
        <w:gridCol w:w="666"/>
      </w:tblGrid>
      <w:tr>
        <w:trPr>
          <w:trHeight w:val="567"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10333"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AH-劳技教室1</w:t>
            </w:r>
            <w:r/>
          </w:p>
        </w:tc>
      </w:tr>
      <w:tr>
        <w:trPr>
          <w:trHeight w:val="540"/>
        </w:trPr>
        <w:tc>
          <w:tcPr>
            <w:shd w:val="clear" w:color="auto" w:fill="auto"/>
            <w:tcBorders>
              <w:top w:val="single" w:color="000000" w:sz="4" w:space="0"/>
              <w:left w:val="single" w:color="000000" w:sz="4" w:space="0"/>
              <w:bottom w:val="single" w:color="auto" w:sz="4" w:space="0"/>
              <w:right w:val="single" w:color="000000"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auto" w:sz="4" w:space="0"/>
              <w:right w:val="single" w:color="000000" w:sz="4" w:space="0"/>
            </w:tcBorders>
            <w:tcW w:w="66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shd w:val="clear" w:color="auto" w:fill="auto"/>
            <w:tcBorders>
              <w:top w:val="single" w:color="000000" w:sz="4" w:space="0"/>
              <w:left w:val="single" w:color="000000" w:sz="4" w:space="0"/>
              <w:bottom w:val="single" w:color="auto" w:sz="4" w:space="0"/>
              <w:right w:val="single" w:color="000000"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auto" w:sz="4" w:space="0"/>
              <w:right w:val="single" w:color="000000"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414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AH1-01</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教师操作台</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：2400（长）*700（宽）*850mm（高）；</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#2.结构：整体结构设计合理，预留电脑主机、键盘托、实物展台、教师电源位置；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#3.台面：≥38mm厚橡胶木实木板，木质颜色自然，四周边缘机械精打磨没有棱角，台面需刷三层环保透明油漆，使台面更加平整美观；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#4.桌体：采用≥0.8/1.0mm厚镀锌钢板，CO2保护焊焊接，打磨处理，表面经耐酸碱烤漆处理，表面硬度附着力、耐腐蚀性；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#5.滑轨：三节重型滚珠滑轨，承重性强，滑动性能良好，无噪音，开合十万次不变形；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#6.铰链：采用自动型110°大伸展角度，锌合金铰链，开合五万次不变形；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#7.拉手：采用桥型金属拉手，造型独特美观；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#8.脚垫：采用柜体内置可调ABS脚垫，保证桌面平整，防水防潮，延长设备使用寿命。</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AH1-02</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操作台</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2400（长）*1200（宽）*780mm（高）；</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#2.结构：柜身为悬柜，采用≥16mm厚E1级优质环保三聚氰胺双饰面板制作。两侧各有4个方格子柜，内侧各有两个对开门储存柜；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#3.台面：≥38mm厚橡胶木实木板，木质颜色自然，四周边缘机械精打磨没有棱角，台面需刷三层环保透明油漆，使台面更加平整美观；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钢架：钢架立柱采用横截面的尺寸≥60mm*40mm优质方钢，壁厚≥1.0mm；框架横梁横截面尺寸≥40mm*40mm，壁厚≥1.0mm。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#5.铰链：采用自动型110°大伸展角度，锌合金铰链，开合五万次不变形；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#6.脚垫：采用ABS注塑脚垫，防水及防潮，有效延长设备寿命。</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84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AH1-03</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凳子（学生用)</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33*24*45（cm）；支架规格：主支撑脚采用40*20方钢管，拉挡为20*20方钢管，管材表面流水线静电喷塑处理，凳架常规为白色或者黑色。</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把</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AH1-04</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多彩边台</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800*400*760mm；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#2.基材：优质环保刨花板，游离甲醛释放量4.1mg/100g，经过防潮、防虫、防腐化学处理，桌板厚度为25㎜, 2.0㎜厚的同色PVC封边；</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#3.履面：双面贴环保浸渍纸饰面, 色泽匀称，耐磨度高。</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32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AH1-05</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金工材料</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1.100x150x3mm铁板1块，30x200x5mm扁铁1根，D12x200mm铁棒1支，D12x200mm黄铜棒1支，D20x200mm尼龙棒1支，D20x200mm铝棒1支，8支盒装（3-10mm）高速钢麻花钻头1套，24牙12寸钢锯条1盒（50根），3、4、5mm混装铆钉1袋，砂纸2张，38mm油漆刷1把，150ml防锈油1瓶,劳保手套1</w:t>
            </w:r>
            <w:r>
              <w:rPr>
                <w:rFonts w:hint="eastAsia" w:ascii="宋体" w:hAnsi="宋体" w:cs="宋体"/>
                <w:i w:val="0"/>
                <w:iCs w:val="0"/>
                <w:color w:val="auto"/>
                <w:sz w:val="21"/>
                <w:szCs w:val="21"/>
                <w:u w:val="none"/>
                <w:lang w:val="en-US" w:eastAsia="zh-CN" w:bidi="ar"/>
              </w:rPr>
              <w:t xml:space="preserve">副</w:t>
            </w:r>
            <w:r>
              <w:rPr>
                <w:rFonts w:hint="eastAsia" w:ascii="宋体" w:hAnsi="宋体" w:eastAsia="宋体" w:cs="宋体"/>
                <w:i w:val="0"/>
                <w:iCs w:val="0"/>
                <w:color w:val="auto"/>
                <w:sz w:val="21"/>
                <w:szCs w:val="21"/>
                <w:u w:val="none"/>
                <w:lang w:val="en-US" w:eastAsia="zh-CN" w:bidi="ar"/>
              </w:rPr>
              <w:t xml:space="preserve">，30x40cm擦机布2块。</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AH1-06</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铁板、铁皮</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#1.150*100*2mm；150*100*0.5mm钻床、台钻配套耗材。</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AH1-07</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铝板</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#1.150*100*2mm；钻床、台钻配套耗材。</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AH1-08</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铜板</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#1.150*100*1mm；钻床、台钻配套耗材。</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AH1-09</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不锈钢板</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#1.150*100*1mm；钻床、台钻配套耗材。</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AH1-10</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金属锤设计制作实验套件</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#1.铝条30×30×60mm，铝棒φ10×150mm。用于制作小铁锤；可进行划线、锯削、锉削，钻孔、攻丝、套丝、抛光等练习；2个课时完成；难度评定：中。结合配套教材，教学制作实践使用。</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AH1-11</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螺母设计制作实验套件</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#1.Φ35×12圆钢*1；材料：Q235；用于制作六角螺母，可进行划线、锯削、锉削，钻孔、攻丝、抛光等练习；2个课时完成；锻炼学生动手动脑，手眼协调能力，难度程度：中。结合配套教材，教学制作实践使用。</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AH1-12</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风铃制作材料包</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#1.风铃制作配件包含10*100mm、10*150mm、10*200mm铝合金管各10根，圆木片60*6mm6片，72号玉线风铃挂绳0.8mm长约900mm一卷；专用纸盒包装。</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AH1-13</w:t>
            </w:r>
            <w:r/>
          </w:p>
        </w:tc>
        <w:tc>
          <w:tcPr>
            <w:shd w:val="clear" w:color="auto" w:fill="auto"/>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环境布置</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技术参数要求同“AB1-44环境布置”</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bl>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bl>
      <w:tblPr>
        <w:tblStyle w:val="727"/>
        <w:tblW w:w="1034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8"/>
        <w:gridCol w:w="1359"/>
        <w:gridCol w:w="6615"/>
        <w:gridCol w:w="750"/>
        <w:gridCol w:w="666"/>
      </w:tblGrid>
      <w:tr>
        <w:trPr>
          <w:trHeight w:val="567" w:hRule="exact"/>
        </w:trPr>
        <w:tc>
          <w:tcPr>
            <w:gridSpan w:val="5"/>
            <w:shd w:val="clear" w:color="auto" w:fill="auto"/>
            <w:tcBorders>
              <w:top w:val="single" w:color="auto" w:sz="4" w:space="0"/>
              <w:left w:val="single" w:color="auto" w:sz="4" w:space="0"/>
              <w:bottom w:val="single" w:color="auto" w:sz="4" w:space="0"/>
              <w:right w:val="single" w:color="auto" w:sz="4" w:space="0"/>
            </w:tcBorders>
            <w:tcW w:w="103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AI-劳技教室2</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33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AI1-01</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教师操作台</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2400（长）*700（宽）*850mm（高）；</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#2.结构：整体结构设计合理，预留电脑主机、键盘托、实物展台、教师电源位置；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#3.台面：≥38mm厚橡胶木实木板，木质颜色自然，四周边缘机械精打磨没有棱角，台面需刷三层环保透明油漆，使台面更加平整美观；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#4.桌体：采用≥0.8/1.0mm厚镀锌钢板，CO2保护焊焊接，打磨处理，表面经耐酸碱烤漆处理，表面硬度附着力、耐腐蚀性；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#5.滑轨：三节重型滚珠滑轨，承重性强，滑动性能良好，无噪音，开合十万次不变形；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#6.铰链：采用自动型110°大伸展角度，锌合金铰链，开合五万次不变形；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#7.拉手：采用桥型金属拉手，造型独特美观；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#8.脚垫：采用柜体内置可调ABS脚垫，保证桌面平整，防水防潮，延长设备使用寿命。</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242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AI1-02</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学生桌</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长1500*宽750*高800mm；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#2.桌面材料:25mm高密复合材料，具有、防油、防水、防腐蚀性能；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#3.桌架材料：桌架均采用≥1.</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mm优质冷轧钢焊接而成，加宽桌腿80*40mm,表面喷塑具有防锈、防水等；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#4.抽屉材料：抽屉面板双层1.0mm，其余均为正1.0mm裸板，喷塑后1.2mm，表面经过打磨、磷化、喷塑、高温烘烤而成。</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168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AI1-03</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凳子（学生用)</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33*24*45（cm）；支架规格：主支撑脚采用≥40*20方钢管，拉挡为≥20*20方钢管，管材表面流水线静电喷塑处理，凳架常规为白色或者黑色。</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把</w:t>
            </w:r>
            <w:r/>
          </w:p>
        </w:tc>
      </w:tr>
      <w:tr>
        <w:trPr>
          <w:trHeight w:val="3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AI1-04</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边柜（重型工作台）</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1200（长）*600（宽）*780mm（高）；</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#2.台面：≥40mm厚橡胶木实木板， 四周边缘机械精打磨没有棱角，台面需刷三层环保透明油漆，使台面更加平整美观；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#3.台身：采用≥1</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mm环保三聚氰胺板，其截面由硬质PVC利用封边机械高温热压封边；</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#4.框架：（1）采用一次成型的铝型材制作，框架立柱为方管，框架的横梁为方管，通过ABS专用连接件组装而成，应保证组装接缝严密，连接牢固，无松动现象。</w:t>
            </w:r>
            <w:r>
              <w:rPr>
                <w:rFonts w:hint="eastAsia" w:ascii="宋体" w:hAnsi="宋体" w:eastAsia="宋体" w:cs="宋体"/>
                <w:i w:val="0"/>
                <w:iCs w:val="0"/>
                <w:color w:val="auto"/>
                <w:sz w:val="21"/>
                <w:szCs w:val="21"/>
                <w:u w:val="none"/>
                <w:lang w:val="en-US" w:eastAsia="zh-CN" w:bidi="ar"/>
              </w:rPr>
              <w:t xml:space="preserve">（2）立柱横截面的尺寸≥52mm*52mm，棱角为椭圆形。框架的横梁横截面的规格：≥35mm*35mm，铝型材壁厚≥1.2mm。（3）连接件：采用自锁式ABS工程塑料一次成型，连接件接入铝合金部分深度不小于38mm；连接件与铝合金立柱紧紧扣牢，可防止直插式连接件在组装中忘记打螺丝或不打螺丝而使台体结构松动现象。（4）铝型材凹槽的宽度、深度应与所采用的柜体板材相匹配，接缝严密，无晃动现象。（5）铝型材表面需经静电喷涂、高温固化成光滑表面。采用一体化台面，上部为抽屉，下部对开门储存柜，台两侧板设置学生实验电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#5.铰链：采用自动型110°大伸展角度，锌合金铰链，开合五万次不变形；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#6.拉手：采用C型不锈钢拉手，造型独特美观；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#7.脚垫：规格φ42mm*H65mm，采用ABS工程塑料，模具注塑成形，可调节高低，防水及防潮，有效延长设备寿命。</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3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AI1-05</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激光切割雕刻一体机（落地）</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#1.激光类型：CO2；</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#2.激光功率：≥60W；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#3.工作区：400mm*600mm；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#4.雕刻速度：1-1200mm/s；</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#5.雕刻厚度：1- 5mm；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#6.切割速度：1- 1200mm/s；</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#7.切割厚度：1-10mm；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#8.重复定位精度：0.01mm；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#9.最小字符：字母1mm,汉字2mm；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#10.导轨：高精度直线方轨；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#11.驱动方式：数字细分步进驱动器；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#12.定位模式：红光定位；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#13.兼容软件：Artcut/Photoshop/Coreldraw/Auto CAD/Lasercut；</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#14.支持图形格式：BMP,GIF,PCX,TGA,PLT,CDR,DXF,AI；</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#15.切割材料：木、竹、玉、大理石、有机玻璃、水晶、塑料、服装、纸张、皮革、橡胶、陶瓷、玻璃等非金属材料；</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#16.升降平台：0-300mm电动升降；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#17.冷却方式：水冷。</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3647"/>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AI1-06</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激光切割机配套课程（中级）</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1.课程简介：本课程为激光切割中级课程。在中级课程中，学生将基于课程提供的激光切割设计图，进行个性化的调整，并运用学习到的图纸绘图技巧进行重新设计，完成一系列较为复杂的平面作品。#2.不少于16课时的课件PPT、教案、学案等教学资源课程</w:t>
            </w:r>
            <w:r>
              <w:rPr>
                <w:rFonts w:hint="eastAsia" w:ascii="宋体" w:hAnsi="宋体" w:cs="宋体"/>
                <w:i w:val="0"/>
                <w:iCs w:val="0"/>
                <w:color w:val="auto"/>
                <w:sz w:val="21"/>
                <w:szCs w:val="21"/>
                <w:u w:val="none"/>
                <w:lang w:val="en-US" w:eastAsia="zh-CN" w:bidi="ar"/>
              </w:rPr>
              <w:t xml:space="preserve">目录，如：</w:t>
            </w:r>
            <w:r>
              <w:rPr>
                <w:rFonts w:hint="eastAsia" w:ascii="宋体" w:hAnsi="宋体" w:eastAsia="宋体" w:cs="宋体"/>
                <w:i w:val="0"/>
                <w:iCs w:val="0"/>
                <w:color w:val="auto"/>
                <w:sz w:val="21"/>
                <w:szCs w:val="21"/>
                <w:u w:val="none"/>
                <w:lang w:val="en-US" w:eastAsia="zh-CN" w:bidi="ar"/>
              </w:rPr>
              <w:t xml:space="preserve">学习新技能</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激光切割</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绘图设计</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图纸的优化</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绘图小能手</w:t>
            </w:r>
            <w:r>
              <w:rPr>
                <w:rFonts w:hint="eastAsia" w:ascii="宋体" w:hAnsi="宋体" w:cs="宋体"/>
                <w:i w:val="0"/>
                <w:iCs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创意生活</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创意书签</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创意杯垫</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精美钥匙扣</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个性名片</w:t>
            </w:r>
            <w:r>
              <w:rPr>
                <w:rFonts w:hint="eastAsia" w:ascii="宋体" w:hAnsi="宋体" w:cs="宋体"/>
                <w:i w:val="0"/>
                <w:iCs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游戏王国</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游戏花园</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游戏勋章</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巧手拼图</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中国象棋</w:t>
            </w:r>
            <w:r>
              <w:rPr>
                <w:rFonts w:hint="eastAsia" w:ascii="宋体" w:hAnsi="宋体" w:cs="宋体"/>
                <w:i w:val="0"/>
                <w:iCs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动物世界</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小狗的一天</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兔子的冒险</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老虎之王</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大象的奥秘</w:t>
            </w:r>
            <w:r>
              <w:rPr>
                <w:rFonts w:hint="eastAsia" w:ascii="宋体" w:hAnsi="宋体" w:cs="宋体"/>
                <w:i w:val="0"/>
                <w:iCs w:val="0"/>
                <w:color w:val="auto"/>
                <w:sz w:val="21"/>
                <w:szCs w:val="21"/>
                <w:u w:val="none"/>
                <w:lang w:val="en-US" w:eastAsia="zh-CN" w:bidi="ar"/>
              </w:rPr>
              <w:t xml:space="preserve">等；</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AI1-07</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激光切割机耗材包</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#1.椴木板尺寸：≥3mm*210*300  共25件；椴木板尺寸：≥5mm*210*300 共10件；奥松板尺寸：≥3mm*210*300 共25件；奥松板尺寸：≥5mm*210*300 共10件；牛皮纸尺寸：≥0.5mm*210*297 共20件；瓦楞纸尺寸：≥3mm*200*300 共30件；瓦楞纸尺寸：≥6mm*200*300 共10件；榉木板尺寸：≥3mm*100*200 共4件；透明亚克力尺寸：≥3mm*200*275 共4件；合计耗材数量超过120件。</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345"/>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AI1-08</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桌面激光切割机</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长*宽*高（mm）725*550*260；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#2.加工幅面：长*宽（mm）≥500*300；加工高度可达42mm；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#3.整机功率：110-240V，50~60Hz；平均功率150W；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#4.运行速度及精度：雕刻速度可达1000mm/s；加工精度可达0.01mm；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#5.运动系统及工作平台：基于嵌入式的高性能多轴运动控制系统；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#6.加工模块类型与功率：标配10W蓝光激光模组（可扩展20W或40W激光模组），支持高性能的其他加工头快拆更换；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#7.激光头等级：波长455nm蓝光激光；光斑大小小于等于0.08mm；使用寿命不小于8000h；</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#8.加工属性与能力：支持纸张、木材、塑料、皮革等多种耗材的雕刻与切割，支持金属打标，切割厚度不小于15mm（桐木板）；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#9.交互方式：设备内置LCD高清IPS液晶屏，智能触摸按键支持多元交互与控制；摇杆手柄支持离线端高分辨率灵敏微动；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#10.操作方式：支持USB连接电脑在线加工；支持电脑端保存加工文件到SD卡进行离线加工；支持移动端通过Wifi连接设备远程加工；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#11.智能摄像系统：内置1600W像素智能高清广角摄像头，支持摄像头图像定位，支持摄像头拍照提取图像进行可视化加工；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#12.自动吹气系统：自动吹气管路，可接吹气单元加工；支持高压气路外接；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#13.对焦方式：支持激光自动对焦、支持手动对焦，能实现激光焦距自动校准；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#14.多种安全传感器辅助：内置安全状态门智能检测系统、火焰传感器智能检测燃烧状态、三轴加速度传感器智能检测倾斜角、十字红点激光定位加工范围，支持急停操作；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#15.照明系统与显示状态灯：支持工作区全局照明，辅助拍照加工；屏幕指示加工状态与工作进程；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#16.可扩展配套：可扩展配套其他加工头单元、可扩展增高台、可扩展外接气源、可扩展旋转轴单元、可扩展配套烟雾净化系统；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#17.配套软件：搭配轻量级激光软件，软件支持多系统平台；软件内包含布尔运算、形状偏移、阵列等便于设计的基础设计功能；支持激光刀具补偿；支持图片矢量化；支持图片可视化显示；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#18.配套移动端APP：配套自研移动端激光软件，支持移动端加工和操作；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#19.配套课程与教学资源：网上教学资源库，拥有海量教学资源。配备操作入门教学课程，初阶、中阶、高阶等教学课程。</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62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AI1-09</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烟雾净化器</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#1.烟雾净化器单元可使用风管连接携式智能激光雕切机，在连接风管后，在加工过程中产生的烟尘将通过净化器处理后再进行外排。实现了加工过程中无异味，净化效果可达99%</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净化器功率不小于200W，工作风压不少于3000PA，风量不小于350m3/h；整机密封静音，风噪小于60db；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#2.滤芯采用三重滤网结构，通过初效滤芯、中效滤芯、高效滤芯三层结构实现加工后气体气味吸附，实现加工无异味，净化效果可达99.9%；滤芯支持独立更换，更换方便，易处理。</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AI1-10</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桌面激光切割机耗材包</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#1.椴木板尺寸：≥3mm*210*300  共25件；椴木板尺寸：≥5mm*210*300 共10件；奥松板尺寸：≥3mm*210*300 共25件；奥松板尺寸：≥5mm*210*300 共10件；牛皮纸尺寸：≥0.5mm*210*297 共20件；瓦楞纸尺寸：≥3mm*200*300 共30件；瓦楞纸尺寸：≥6mm*200*300 共10件；榉木板尺寸：≥3mm*100*200 共4件；透明亚克力尺寸：≥3mm*200*275 共4件；合计耗材数量超过120件。</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3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AI1-11</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全金属弓形臂微型安全锯床</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#1.电机内置散热风扇达到延长寿命和增加马力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.电机主轴皮带轮和被动轮全部为金属结构；</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.主轴箱和电机箱为一体设计，电机可以前后移动调整皮带松紧；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.经过特殊设计,安全不伤手,就算锯齿碰到皮肤,也只会引起轻微的振动,不会割伤；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.可以直线,曲线任意切割；</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.所有机械部分全部采用金属结构，如主轴箱，中间块，线锯箱底座，线锯箱，线锯台,连接块等都采用全金属结构,结构件和结构件之间利用2个梯形槽对接，用金属梯形连接块。</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80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AI1-12</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全金属微型安全金工车床</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#1.所有机械部分全部采用金属结构，结构件和结构件之间利用2个梯形槽对接，用金属梯形连接块；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#2.电机内置散热风扇达到延长寿命和增加马力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#3.电机主轴皮带轮和被动轮全部为金属结构；</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#4.主轴箱和电机箱为一体设计，电机可以前后移动调整皮带松紧。</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76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AI1-13</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全金属微型安全木工锣床</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#1.所有机械部分全部采用金属结构，结构件和结构件之间利用2个梯形槽对接，用金属梯形连接块；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#2.电机内置散热风扇达到延长寿命和增加马力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#3.电机主轴皮带轮和被动轮全部为金属结构；</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#4.主轴箱和电机箱为一体设计，电机可以前后移动调整皮带松紧。</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58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AI1-14</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全金属万能摇臂微型安全钻床</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#1.所有机械部分全部采用金属结构，结构件和结构件之间利用2个梯形槽对接，用金属梯形连接块；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#2.电机内置散热风扇达到延长寿命和增加马力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#3.电机主轴皮带轮和被动轮全部为金属结构；</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#4.主轴箱和电机箱为一体设计，电机可以前后移动调整皮带松紧；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#5.配合分度盘使用，可以对圆形工件进行等分钻孔加工；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#6.分度盘上有三组圆周等份分布的小孔，分别是36、40、48个小孔.可以根据实际需要选择分度孔的组别。</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36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AI1-15</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全金属万能摇臂微型安全铣床</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#1.所有机械部分全部采用金属结构，结构件和结构件之间利用2个梯形槽对接，用金属梯形连接块；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#2.电机内置散热风扇达到延长寿命和增加马力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#3.电机主轴皮带轮和被动轮全部为金属结构；</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#4.主轴箱和电机箱为一体设计，电机可以前后移动调整皮带松紧；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#5.铣床用的刀具是铣刀，铣刀的侧面和前面都是刀刃，有一定的危险性，所以一定要在专业人士的指导下使用。</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AI1-16</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全金属万能摇臂微型安全分度机床</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#1.所有机械部分全部采用金属结构，结构件和结构件之间利用2个梯形槽对接，用金属梯形连接块；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#2.电机内置散热风扇达到延长寿命和增加马力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#3.电机主轴皮带轮和被动轮全部为金属结构；</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#4.主轴箱和电机箱为一体设计，电机可以前后移动调整皮带松紧；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#5.配合分度盘使用，可以对圆形工件进行等分钻孔加工；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#6.分度盘上有三组圆周等份分布的小孔，分别是36、40、48个小孔.可以根据实际需要选择分度孔的组别。</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40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AI1-17</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全金属微型安全磨床（带砂轮功能）</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#1.所有机械部分全部采用金属结构，结构件和结构件之间利用2个梯形槽对接，用金属梯形连接块；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#2.电机内置散热风扇达到延长寿命和增加马力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#3.电机主轴皮带轮和被动轮全部为金属结构；</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#4.主轴箱和电机箱为一体设计，电机可以前后移动调整皮带松紧；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#5.可以用来抛光、打磨,也可以手持进行各种角度研磨；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#6.中心高25mm，砂纸粒度一般为100＃，可根据不同的工件及加工表面要求选择砂纸。</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0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AI1-18</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全金属微型手持机床</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#1.产品特点：变压器有过热保护。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#2、技术参数：1）马达转速：20000转/分钟，2）输入电压/电流/功率/：12VDC/3A/36W；</w:t>
            </w:r>
            <w:r>
              <w:rPr>
                <w:rStyle w:val="961"/>
                <w:rFonts w:hint="eastAsia" w:ascii="宋体" w:hAnsi="宋体" w:eastAsia="宋体" w:cs="宋体"/>
                <w:color w:val="auto"/>
                <w:sz w:val="21"/>
                <w:szCs w:val="21"/>
                <w:lang w:val="en-US" w:eastAsia="zh-CN" w:bidi="ar"/>
              </w:rPr>
              <w:t xml:space="preserve">3）轮盘直径49、</w:t>
            </w:r>
            <w:r>
              <w:rPr>
                <w:rStyle w:val="975"/>
                <w:rFonts w:hint="eastAsia" w:ascii="宋体" w:hAnsi="宋体" w:eastAsia="宋体" w:cs="宋体"/>
                <w:color w:val="auto"/>
                <w:sz w:val="21"/>
                <w:szCs w:val="21"/>
                <w:lang w:val="en-US" w:eastAsia="zh-CN" w:bidi="ar"/>
              </w:rPr>
              <w:t xml:space="preserve">加工能力：能打磨各种铜和铝等软金属及各类木材，手持工具配备七种打磨工具,打磨范围非常广泛,打磨空间自由度大,若配上钻头则变成手钻,配上砂轮则变成手磨,配上铣刀则变成手铣,变化多样,操作灵活,使用简单。4）采用4节连接块连接，令机件连接更牢固稳定。</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32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AI1-19</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大木工车床</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#1.大木工车床规格及技术参数：主轴驱动采用无级变速装置，使用直流电机和同步带传动，具有主轴转速显示器、触摸开关，可无级调节主轴转速200-2500rpm；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#2.床身工件最大回转直径180mm；最大工件长度200mm；主轴通孔直径20mm；主轴内孔锥度莫氏3号；尾轴孔锥度莫氏2号；包装尺寸≥720*300*290mm；重量：43Kg；</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.随机附件：活顶尖（MT2）、卡盘反爪（3只）、钻头、扳手、卡盘钥匙等。</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25"/>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AI1-20</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机床基础耗材套装</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#1.12生肖各一张；12张空白木板；木棒15*100/50根；木棒25*100/50根；铝棒10条。</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40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AI1-21</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木工工具箱</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#1.专用配套工具箱20件套，含18种必备常用工具，方便</w:t>
            </w:r>
            <w:r>
              <w:rPr>
                <w:rFonts w:hint="eastAsia" w:ascii="宋体" w:hAnsi="宋体" w:eastAsia="宋体" w:cs="宋体"/>
                <w:i w:val="0"/>
                <w:iCs w:val="0"/>
                <w:color w:val="auto"/>
                <w:sz w:val="21"/>
                <w:szCs w:val="21"/>
                <w:u w:val="none"/>
                <w:lang w:val="en-US" w:eastAsia="zh-CN" w:bidi="ar"/>
              </w:rPr>
              <w:t xml:space="preserve">使用和管理。工具包括：木工凿子，1把，3/4”；美工刀，1把，包胶；木工锉，1把，8"半圆；剪刀，1把，多用；羊角锤，1把，0.5KG木柄；鸟刨，1把；手推刨，1把；钢角尺，1把，300mm；螺丝刀，1把，6*115+-铬钒钢，芝麻柄；老虎钳，1把，8"黄黑双色柄；卷尺，1把，3m*11.5mm；G形夹，1把，3"；有机玻璃钩刀，1把，钩刀带两把刀片；木工鸡尾锯，1把，锰钢三面齿，磨齿锯；木工铅笔，1支；小水平尺，1把，S93型，塑料，三水泡，45°、90°、180°；墨斗，1个，新型迷你墨斗；磨刀石一块。</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60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AI1-22</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移动工具墙（带挂钩）</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#1.移动式，单面固定；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长宽高96*41*191cm；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#3.方孔板厚度：≥1.4mm；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#4.材料：矩形管+冷轧钢+喷塑烤漆+调节脚轮+胶套；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#5.含单直挂钩20个，双直挂钩20个，零件盒24个，零件盒挂钩24个。</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46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AI1-23</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小手锯</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#1.全长26cm，宽7.5cm，铝合金锯架，烤漆表面</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注塑手柄，锯条可拆卸。</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把</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AI1-24</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小手锯锯条</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#1.长15cm，迷你手锯适用锯条，铬钒钢材质。</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根</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AI1-25</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板锯</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#1.全长40cm，黑色漆面锯身，锯片自带25cm辅助测量刻度。</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把</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AI1-26</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木工刨</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#1.规格：18*6*4cm，青冈木材质，可组装拆卸。</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把</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AI1-27</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边刨</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#1.规格：15*2.5*5cm，青冈木材质，可组装拆卸。</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把</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AI1-28</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凿子</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#1.材质：45#钢+原木；尺寸：19.5cm；8支装木凿刀，优良材质经久耐用，内嵌外固设计，保证凿头不松动不脱落，使用过程更安全更省心；用途：各种木产品加工。</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AI1-29</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白乳胶</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#1.材质：PVAC；净含量：≤40ml；旋转开启瓶盖，操作简单便捷，可控出胶量，满足不同用胶需求，水溶性白胶可水洗，粘性强，适用多种材质。用途：作品黏贴固定</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AI1-30</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墨斗</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#1.材质：竹木；尺寸：长20cm，高5.5cm，线长10m左右，末端系有固定针，</w:t>
            </w:r>
            <w:r>
              <w:rPr>
                <w:rFonts w:hint="eastAsia" w:ascii="宋体" w:hAnsi="宋体" w:cs="宋体"/>
                <w:i w:val="0"/>
                <w:iCs w:val="0"/>
                <w:color w:val="auto"/>
                <w:sz w:val="21"/>
                <w:szCs w:val="21"/>
                <w:u w:val="none"/>
                <w:lang w:val="en-US" w:eastAsia="zh-CN" w:bidi="ar"/>
              </w:rPr>
              <w:t xml:space="preserve">流线型</w:t>
            </w:r>
            <w:r>
              <w:rPr>
                <w:rFonts w:hint="eastAsia" w:ascii="宋体" w:hAnsi="宋体" w:eastAsia="宋体" w:cs="宋体"/>
                <w:i w:val="0"/>
                <w:iCs w:val="0"/>
                <w:color w:val="auto"/>
                <w:sz w:val="21"/>
                <w:szCs w:val="21"/>
                <w:u w:val="none"/>
                <w:lang w:val="en-US" w:eastAsia="zh-CN" w:bidi="ar"/>
              </w:rPr>
              <w:t xml:space="preserve">手柄；用途：传统木工加工过程标记线条。</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把</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AI1-31</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雕刻刀</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#1.木工雕刻刀套装；材质：榉木、合金钢；用途：手工雕刻；10只装：平刀、斜刀、半圆刀、细半圆刀、斜角刀、小斜刀、尖刀、开槽刀、小平刀、大圆刀。</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AI1-32</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砂纸2</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#1.干膜砂纸 320#；尺寸：200*290mm；用途：对木艺创作制造过程中的工件进行打磨去毛刺，提高作品表面光滑度和质感。</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AI1-33</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防护眼镜</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#1.PVC材料，透明。</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AI1-34</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围裙</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#1.挂肩膀式，浅灰色，加厚涤棉帆布，带杂物兜2个，大小排列插袋7个，可调节肩带，带束腰系带，穿戴简单方便，易清洗，防静电，不沾毛毛、灰尘。</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 </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件</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AI1-35</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防尘口罩</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#1.一次性口罩,≥100个。</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包</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AI1-36</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防滑手套</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#1.棉线手套。</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副</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AI1-37</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套袖</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#1.蓝色布质。</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副</w:t>
            </w:r>
            <w:r/>
          </w:p>
        </w:tc>
      </w:tr>
      <w:tr>
        <w:trPr>
          <w:trHeight w:val="135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AI1-38</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急救箱</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药品：碘酒（15mL）1瓶（有药品生产许可编号）、红药水（15mL）1瓶（有药品生产许可编号）、双氧水（100mL）1瓶（有药品生产许可编号）、医用酒精（100mL）1瓶（有药品生产许可编号），医用棉签1包（有药品生产许可编号，原包装）、医用棉球1包（有药品生产许可编号，原包装）、无菌纱布（50mm×50mm）1包（有药品生产许可编号，原包装）、胶布（布）1卷、创可贴50张、烫伤药膏1支（有药品生产许可编号），均为保质期内。</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AI1-39</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大吸力吸尘器</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#1.功率：1200W，坚固钢制壳体，经久耐磨，超大可洗布袋，适用于大房间，配有多种吸头，用途广泛。</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AI1-40</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环境布置</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技术参数要求同“AB1-44环境布置”</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bl>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bl>
      <w:tblPr>
        <w:tblStyle w:val="727"/>
        <w:tblW w:w="10363"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43"/>
        <w:gridCol w:w="1374"/>
        <w:gridCol w:w="6615"/>
        <w:gridCol w:w="750"/>
        <w:gridCol w:w="681"/>
      </w:tblGrid>
      <w:tr>
        <w:trPr>
          <w:trHeight w:val="567" w:hRule="exact"/>
        </w:trPr>
        <w:tc>
          <w:tcPr>
            <w:gridSpan w:val="5"/>
            <w:shd w:val="clear" w:color="auto" w:fill="auto"/>
            <w:tcBorders>
              <w:top w:val="single" w:color="000000" w:sz="4" w:space="0"/>
              <w:left w:val="single" w:color="000000" w:sz="4" w:space="0"/>
              <w:bottom w:val="single" w:color="auto" w:sz="4" w:space="0"/>
              <w:right w:val="single" w:color="000000" w:sz="4" w:space="0"/>
            </w:tcBorders>
            <w:tcW w:w="1036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AJ-劳技教室3 </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1620"/>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AJ1-01</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学生桌</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长1500*宽750*高800mm；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#2.桌面材料:25mm高密复合材料，具有、防油、防水、防腐蚀性能；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#3.桌架材料：桌架均采用≥1.</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mm优质冷轧钢焊接而成，加宽桌腿80*40mm,表面喷塑具有防锈、防水等；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#4.抽屉材料：抽屉面板双层1.0mm，其余均为正1.0mm裸板，喷塑后1.2mm，表面经过打磨、磷化、喷塑、高温烘烤而成。</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AJ1-02</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凳子（学生用)</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33*24*45（cm）；支架规格：主支撑脚采用≥40*20方钢管，拉挡为≥20*20方钢管，管材表面流水线静电喷塑处理，凳架常规为白色或者黑色。</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把</w:t>
            </w:r>
            <w:r/>
          </w:p>
        </w:tc>
      </w:tr>
      <w:tr>
        <w:trPr>
          <w:trHeight w:val="1585"/>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AJ1-03</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边柜（重型工作台）</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1200（长）*600（宽）*780mm（高）。</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#2、台面：≥40mm厚橡胶木实木板， 四周边缘机械精打磨没有棱角，台面需刷三层环保透明油漆，使台面更加平整美观。</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#3、台身：采用≥1</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mm环保三聚氰胺板，其截面由硬质PVC利用封边机械高温热压封边。</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框架：（1）采用一次成型的铝型材制作，框架立柱为方管，框架的横梁为方管，通过ABS专用连接件组装而成，应保证组装接缝严密，连接牢固，无松动现象。（2）立柱横截面的尺寸不小于52mm×52mm，棱角为椭圆形。框架的横梁</w:t>
            </w:r>
            <w:r>
              <w:rPr>
                <w:rFonts w:hint="eastAsia" w:ascii="宋体" w:hAnsi="宋体" w:cs="宋体"/>
                <w:i w:val="0"/>
                <w:iCs w:val="0"/>
                <w:color w:val="auto"/>
                <w:sz w:val="21"/>
                <w:szCs w:val="21"/>
                <w:u w:val="none"/>
                <w:lang w:val="en-US" w:eastAsia="zh-CN" w:bidi="ar"/>
              </w:rPr>
              <w:t xml:space="preserve">横截面</w:t>
            </w:r>
            <w:r>
              <w:rPr>
                <w:rFonts w:hint="eastAsia" w:ascii="宋体" w:hAnsi="宋体" w:eastAsia="宋体" w:cs="宋体"/>
                <w:i w:val="0"/>
                <w:iCs w:val="0"/>
                <w:color w:val="auto"/>
                <w:sz w:val="21"/>
                <w:szCs w:val="21"/>
                <w:u w:val="none"/>
                <w:lang w:val="en-US" w:eastAsia="zh-CN" w:bidi="ar"/>
              </w:rPr>
              <w:t xml:space="preserve">不小于35mm×35mm，铝型材壁厚≥1.2mm。（3）连接件：采用自锁式ABS工程塑料一次成型，连接件接入铝合金部分深度不小于38mm；连接件与铝合金立柱紧紧扣牢，可防止直插式连接件在组装中忘记打螺丝或不打螺丝而使台体结构松动现象。（4）铝型材凹槽的宽度、深度应与所采用的柜体板材相匹配，接缝严密，无晃动现象。（5）铝型材表面需经静电喷涂、高温固化成光滑表面。采用一体化台面，上部为抽屉，下部对开门储存柜，台两侧板设置学生实验电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#5、铰链：采用自动型110°大伸展角度，锌合金铰链，开合五万次不变形。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6、拉手：采用C型不锈钢拉手，造型独特美观。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7、脚垫：规格φ42mm*H65mm，采用ABS工程塑料，模具注塑成形，可调节高低，防水及防潮，有效延长设备寿命。</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6210"/>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AJ1-04</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3D打印机</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#1.成型尺寸≥200*200*200mm;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#2.打印技术 熔融沉积型（FDM）;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#3.层分辨率 0.05-0.3mm;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#4.定位精度 ≤0.0125mm;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#5.是否有空气过滤系统: 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#6.断电续打: 支持;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#7.料用完暂停报警: 支持;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#8.喷头数量:  1;</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#9.打印头: 单色打印;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#10.打印速度: 30-150mm/s;</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#11.结构: 非全封闭整机;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#12.储料箱: 悬挂式;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#13.照明功能: 内置照明LED照明;</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#14.挤出头直径 可选: 0.3 , 0.4，0.5mm;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#15.挤出头工作温度 Max 260℃;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#16.显示屏幕特性 ≥3.5寸全彩触摸屏;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#17.中央处理器（CPU） 32位ARM CPU单片机;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#18.外储存器 支持SD卡拔插及USB连接;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#19.电源要求 AC100v-AC240v 50Hz/60Hz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#20.操作系统支持 Windows,Linux,MAC;</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#21.文件格式支持 STL、OBJ;</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#22.机器外观表面处理 钣金高温烤漆形成独特的外观;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#23.机箱尺寸 ≥390*370*435mm;</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5700"/>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AJ1-05</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三维设计软件</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#1.曲线建模，支持导入平面图片建模、文字建模、自定义绘制图形建模等多种建模方式。</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#2.3D浮雕建模，支持导入平面图片、文字以及自定义绘制图形，并能一键式生成可制造的立体透光浮雕模型。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#3.参数建模，支持全参数交互式驱动建模方式；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#4.一键平置，在移动模型的过程中，可以一键将模型移动到水平面上，方便切片；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#5.自动放平，在旋转模型的过程中，可以一键将模型放平，软件自动为模型找到合适的旋转角度进行旋转，方便切片；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#6.文字建模，支持输入文字，即可生成立体文字模型，支持主流字体；</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#7.曲面建模，支持挤出、移动长方体盒子的面生成多面体，通过细分曲面的方式生成3D模型。</w:t>
            </w:r>
            <w:r/>
          </w:p>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#8.拉伸建模，支持从二维封闭曲线垂直拉伸得到3D模型，导入图片作为二维草图的绘制向导，并内置网格线作为绘制参考；</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#9.旋转建模，支持从二维曲线沿轴旋转得到3D模型，导入图片作为二维草图的绘制向导，并内置网格线作为参考线，可人工设置曲线是否封闭。软件可自动对曲线进行补全，从而生成旋转体模型；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#10.切片软件集成，支持切片功能，设置层厚、壁厚、填充密度、打印速度等参数，从3D模型计算得到打印机的执行文件，并支持单层/多层/全部等模式可视化查看打印路径。支持输出切片gcode文件。</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850"/>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AJ1-06</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三维设计课程</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#1.课程内容包含教案、学案、课件、3D模型文件等资料；</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#2.课程简介：通过本课程，学生将学习如何运用三维设计软件进行简单而实用的立体设计，并将这些设计通过3D打印机实现真实物体的制作。</w:t>
            </w:r>
            <w:r>
              <w:rPr>
                <w:rFonts w:hint="eastAsia" w:ascii="宋体" w:hAnsi="宋体" w:cs="宋体"/>
                <w:i w:val="0"/>
                <w:iCs w:val="0"/>
                <w:color w:val="auto"/>
                <w:sz w:val="21"/>
                <w:szCs w:val="21"/>
                <w:u w:val="none"/>
                <w:lang w:val="en-US" w:eastAsia="zh-CN" w:bidi="ar"/>
              </w:rPr>
              <w:t xml:space="preserve">内容包括：</w:t>
            </w:r>
            <w:r>
              <w:rPr>
                <w:rFonts w:hint="eastAsia" w:ascii="宋体" w:hAnsi="宋体" w:eastAsia="宋体" w:cs="宋体"/>
                <w:i w:val="0"/>
                <w:iCs w:val="0"/>
                <w:color w:val="auto"/>
                <w:sz w:val="21"/>
                <w:szCs w:val="21"/>
                <w:u w:val="none"/>
                <w:lang w:val="en-US" w:eastAsia="zh-CN" w:bidi="ar"/>
              </w:rPr>
              <w:t xml:space="preserve">入门课程</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进阶课程</w:t>
            </w:r>
            <w:r>
              <w:rPr>
                <w:rFonts w:hint="eastAsia" w:ascii="宋体" w:hAnsi="宋体" w:cs="宋体"/>
                <w:i w:val="0"/>
                <w:iCs w:val="0"/>
                <w:color w:val="auto"/>
                <w:sz w:val="21"/>
                <w:szCs w:val="21"/>
                <w:u w:val="none"/>
                <w:lang w:val="en-US" w:eastAsia="zh-CN" w:bidi="ar"/>
              </w:rPr>
              <w:t xml:space="preserve">等。</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AJ1-07</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3D打印耗材</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#1.耗材直径 1.75mm；规格 1卷1KG；包装重量 1.4kg；可选颜色 11色，红色、天蓝色、象牙白、苹果绿、橙色、金色、肤色、黑色、银色、鲜粉红、黄色。</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卷</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AJ1-08</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光固化3D打印耗材</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#1.硬度：79-88；拉伸强度：64-72Mpa；断裂伸长率：8-13%；</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#2.规格：1kg；热变形温度：44-47℃；吸水率：0.9-2.5%；打印层厚：0.05mm/层；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#3.底部层数：3-5层；底层曝光时间：30S/层；曝光时间：7s/层；颜色：灰、白、黑、透明、透明蓝、透明绿、透明红。</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AJ1-09</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3D模型资源库</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#1.包含教学、创意类模型不少于500种。</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AJ1-10</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3D打印工具包</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#1.小铲刀、斜口钳、3D调平工具、料架固定支架，3D打印机常用易损件、U盘、读卡器、PLA导线管、常用内六角套装。</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AJ1-11</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3D教学模型</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#1.包含了20种教学相关的3D打印成品，便于帮助老师在教学中让学生更好的了解3D打印技术，激发学生的创造思维。</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AJ1-12</w:t>
            </w:r>
            <w:r/>
          </w:p>
        </w:tc>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环境布置</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技术参数要求同“AB1-44环境布置”</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bl>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bl>
      <w:tblPr>
        <w:tblStyle w:val="727"/>
        <w:tblW w:w="10363"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8"/>
        <w:gridCol w:w="1359"/>
        <w:gridCol w:w="6630"/>
        <w:gridCol w:w="735"/>
        <w:gridCol w:w="681"/>
      </w:tblGrid>
      <w:tr>
        <w:trPr>
          <w:trHeight w:val="567" w:hRule="exact"/>
        </w:trPr>
        <w:tc>
          <w:tcPr>
            <w:gridSpan w:val="5"/>
            <w:shd w:val="clear" w:color="auto" w:fill="auto"/>
            <w:tcBorders>
              <w:top w:val="single" w:color="auto" w:sz="4" w:space="0"/>
              <w:left w:val="single" w:color="auto" w:sz="4" w:space="0"/>
              <w:bottom w:val="single" w:color="auto" w:sz="4" w:space="0"/>
              <w:right w:val="single" w:color="auto" w:sz="4" w:space="0"/>
            </w:tcBorders>
            <w:tcW w:w="10363"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AK-劳技教室4（创客教室）</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270"/>
        </w:trPr>
        <w:tc>
          <w:tcPr>
            <w:gridSpan w:val="3"/>
            <w:shd w:val="clear" w:color="auto" w:fill="auto"/>
            <w:tcBorders>
              <w:top w:val="single" w:color="auto" w:sz="4" w:space="0"/>
              <w:left w:val="single" w:color="auto" w:sz="4" w:space="0"/>
              <w:bottom w:val="single" w:color="auto" w:sz="4" w:space="0"/>
              <w:right w:val="single" w:color="auto" w:sz="4" w:space="0"/>
            </w:tcBorders>
            <w:tcW w:w="894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1、基础设备</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26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AK1-01</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教师演示台</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采用承重部位≥1.2mm其他≥1.0mm的优质冷轧钢板，讲桌上下层采用分体式设计；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#2.讲桌附安全锁,闭合尺寸约: (长) 1150 (宽)650 (高)920 MM。台面采用≥15mm厚度防滑痕黄色木纹防火板，防静电；</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 17-21寸显示器翻转方式打开，根据不同身高的老师任意调节显示器角度，键盘翻转式打开装配两个铰链提高使用寿命。键盘、中控、鼠标设计成隐藏式操作时在同一界面。关闭后所有设备都隐藏在讲台内。便于操作使用，提供橡木扶手长度*宽度*厚度约(尺寸600mm*50mm*25mm) ，方便使用者握扶；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#4.讲桌正前方梯子型且带L形实木板作为装饰，展台右侧抽拉。便于操作使用。桌底部配置接地线连接头以防漏电与静电，讲台背面留音响孔，讲台内置布线系统；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#5.讲桌下体前后设计，内可放置主机，并配独立的储物空间，一把钥匙控制所有锁。</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AK1-02</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创客活动桌</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#1.木板打底、水曲柳饰面. 尺寸约为：2000mm*1000mm*750mm 。</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AK1-03</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教师转椅</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#1.依照人体工程学设计，面料为优质网布，下座采用高密度泡棉，阻燃、舒适、回弹性好；钢制五星脚电镀，气动升降、有扶手。</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把</w:t>
            </w:r>
            <w:r/>
          </w:p>
        </w:tc>
      </w:tr>
      <w:tr>
        <w:trPr>
          <w:trHeight w:val="222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AK1-04</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学生椅</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#1.规格：Φ300*450-500mm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#2.凳面材质：采用环保型ABS改性塑料一次性注塑成型；尺寸：30cm×3cm ；表面细纹咬花，防滑不发光；                         </w:t>
            </w:r>
            <w:r>
              <w:rPr>
                <w:rFonts w:hint="eastAsia" w:ascii="宋体" w:hAnsi="宋体" w:eastAsia="宋体" w:cs="宋体"/>
                <w:i w:val="0"/>
                <w:iCs w:val="0"/>
                <w:color w:val="auto"/>
                <w:sz w:val="21"/>
                <w:szCs w:val="21"/>
                <w:u w:val="none"/>
                <w:lang w:val="en-US" w:eastAsia="zh-CN" w:bidi="ar"/>
              </w:rPr>
              <w:t xml:space="preserve">                                                                                                                                                                                                                                          #3.脚钢架材质及形状：椭圆形无缝钢管；尺寸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:17×34×1.7mm ；全圆满焊接完成，结构牢固，经高温粉体烤漆处理，长时间使用也不会产生表面烤漆剥落现象；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#4.脚垫材质：采用PP加耐磨纤维质塑料，实心</w:t>
            </w:r>
            <w:r>
              <w:rPr>
                <w:rFonts w:hint="eastAsia" w:ascii="宋体" w:hAnsi="宋体" w:cs="宋体"/>
                <w:i w:val="0"/>
                <w:iCs w:val="0"/>
                <w:color w:val="auto"/>
                <w:sz w:val="21"/>
                <w:szCs w:val="21"/>
                <w:u w:val="none"/>
                <w:lang w:val="en-US" w:eastAsia="zh-CN" w:bidi="ar"/>
              </w:rPr>
              <w:t xml:space="preserve">倒钩</w:t>
            </w:r>
            <w:r>
              <w:rPr>
                <w:rFonts w:hint="eastAsia" w:ascii="宋体" w:hAnsi="宋体" w:eastAsia="宋体" w:cs="宋体"/>
                <w:i w:val="0"/>
                <w:iCs w:val="0"/>
                <w:color w:val="auto"/>
                <w:sz w:val="21"/>
                <w:szCs w:val="21"/>
                <w:u w:val="none"/>
                <w:lang w:val="en-US" w:eastAsia="zh-CN" w:bidi="ar"/>
              </w:rPr>
              <w:t xml:space="preserve">式一体射出成型；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#5.凳面可通过旋转螺杆来升降凳子高度,可调高度5cm。</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407"/>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AK1-05</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收纳柜</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1320*400*900mm±10mm；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#2.材质：环保三聚氰胺饰面刨花板+教具盒；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#3.工艺：采用E1级≥1</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mm厚三聚氰胺饰面刨花板，断面采用优质PVC封边带高温热熔制作。五金件采用液压铰链；教具盒材质：PP材质,教具盒尺寸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420×290×100mm（±10mm），12只。钢制导轨，导轨边缘外露面光滑圆润；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#4.功能：配置PP收纳盒及储物柜，可收纳各种教学用具。</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70"/>
        </w:trPr>
        <w:tc>
          <w:tcPr>
            <w:gridSpan w:val="3"/>
            <w:shd w:val="clear" w:color="auto" w:fill="auto"/>
            <w:tcBorders>
              <w:top w:val="single" w:color="auto" w:sz="4" w:space="0"/>
              <w:left w:val="single" w:color="auto" w:sz="4" w:space="0"/>
              <w:bottom w:val="single" w:color="auto" w:sz="4" w:space="0"/>
              <w:right w:val="single" w:color="auto" w:sz="4" w:space="0"/>
            </w:tcBorders>
            <w:tcW w:w="894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2、人工智能学习及应用</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3199"/>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AK2-01</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掌控板学习套装</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#1.双核处理器</w:t>
            </w:r>
            <w:r/>
          </w:p>
          <w:p>
            <w:pPr>
              <w:jc w:val="left"/>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#2.主频≥240MHz,SRAM≥520KB,FLASH≥8MB;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w:t>
            </w:r>
            <w:r>
              <w:rPr>
                <w:rFonts w:hint="eastAsia" w:ascii="宋体" w:hAnsi="宋体" w:cs="宋体"/>
                <w:i w:val="0"/>
                <w:iCs w:val="0"/>
                <w:color w:val="auto"/>
                <w:sz w:val="21"/>
                <w:szCs w:val="21"/>
                <w:highlight w:val="none"/>
                <w:u w:val="none"/>
                <w:lang w:val="en-US" w:eastAsia="zh-CN" w:bidi="ar"/>
              </w:rPr>
              <w:t xml:space="preserve">无线Wi-Fi连接；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#4.频率范围:2.4~2.5GHZ,符合蓝牙v4.2 BR/EDR和BLE标准。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#5.供电方式:USBType-C，工作电压:3.3V，工作电流:100mA。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#6.支持软件编程。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套装包含：掌控版≥2个，数据线≥2根，射频传感器≥1个，土壤湿度传感器≥2个，温湿度传感器≥1个，PH传感器≥1个，杜邦线≥2组，掌控板扩展板≥2个，双节电池+充电器+数据线≥2个，视觉摄像头≥1个，水泵(含水管）≥2个，烟雾传感器≥1个，TT马达(直流电机)≥1个，北斗模块≥1个，超声波传感器≥2个，土壤检测片≥2个。</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gridSpan w:val="3"/>
            <w:shd w:val="clear" w:color="auto" w:fill="auto"/>
            <w:tcBorders>
              <w:top w:val="single" w:color="auto" w:sz="4" w:space="0"/>
              <w:left w:val="single" w:color="auto" w:sz="4" w:space="0"/>
              <w:bottom w:val="single" w:color="auto" w:sz="4" w:space="0"/>
              <w:right w:val="single" w:color="auto" w:sz="4" w:space="0"/>
            </w:tcBorders>
            <w:tcW w:w="8947"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3、人工智能竞赛套装</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2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AK3-0</w:t>
            </w: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六足机器人</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#1.六足机器人尺寸：腿长：287mm；躯干长：230mm；躯干宽：80mm；机械臂长：230mm;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#2.机器人重量：约3kg：</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#3.电池：12V 5600mAh ；续航时间：约120min;</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#4.腿部：每条腿3个自由度*6；头部：1个自由度；机械臂：2个自由度；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#5.舵机：智能总线舵机，防堵转舵机;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#6.控制器：宽电压输入9-24V， 7路可控电源输出，7路防堵转舵机，I2C超声波测距*1。 1路输入。6路高速总线舵机接口;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#7.摄像头：前置、后置双摄像头，2.8mm HD1080P USB无畸变广角宽动态逆光补偿摄像头;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#8.传感器模块：超声波测距模块，电压表模块;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#9.通讯方式：WIFI,以太网;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#10.抓取模块： 3个真空泵吸取模块;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#11.最新升</w:t>
            </w:r>
            <w:r>
              <w:rPr>
                <w:rFonts w:hint="eastAsia" w:ascii="宋体" w:hAnsi="宋体" w:eastAsia="宋体" w:cs="宋体"/>
                <w:i w:val="0"/>
                <w:iCs w:val="0"/>
                <w:strike w:val="0"/>
                <w:color w:val="auto"/>
                <w:sz w:val="21"/>
                <w:szCs w:val="21"/>
                <w:u w:val="none"/>
                <w:lang w:val="en-US" w:eastAsia="zh-CN" w:bidi="ar"/>
              </w:rPr>
              <w:t xml:space="preserve">级包，可以进行明年白名单赛事;</w:t>
            </w:r>
            <w:r>
              <w:rPr>
                <w:rFonts w:hint="eastAsia" w:ascii="宋体" w:hAnsi="宋体" w:eastAsia="宋体" w:cs="宋体"/>
                <w:i w:val="0"/>
                <w:iCs w:val="0"/>
                <w:strike w:val="0"/>
                <w:color w:val="auto"/>
                <w:sz w:val="21"/>
                <w:szCs w:val="21"/>
                <w:u w:val="none"/>
                <w:lang w:val="en-US" w:eastAsia="zh-CN" w:bidi="ar"/>
              </w:rPr>
              <w:br/>
            </w:r>
            <w:r>
              <w:rPr>
                <w:rFonts w:hint="eastAsia" w:ascii="宋体" w:hAnsi="宋体" w:eastAsia="宋体" w:cs="宋体"/>
                <w:i w:val="0"/>
                <w:iCs w:val="0"/>
                <w:strike w:val="0"/>
                <w:color w:val="auto"/>
                <w:sz w:val="21"/>
                <w:szCs w:val="21"/>
                <w:u w:val="none"/>
                <w:lang w:val="en-US" w:eastAsia="zh-CN" w:bidi="ar"/>
              </w:rPr>
              <w:t xml:space="preserve">#12.套件支持xDingAI电脑编</w:t>
            </w:r>
            <w:r>
              <w:rPr>
                <w:rFonts w:hint="eastAsia" w:ascii="宋体" w:hAnsi="宋体" w:eastAsia="宋体" w:cs="宋体"/>
                <w:i w:val="0"/>
                <w:iCs w:val="0"/>
                <w:color w:val="auto"/>
                <w:sz w:val="21"/>
                <w:szCs w:val="21"/>
                <w:u w:val="none"/>
                <w:lang w:val="en-US" w:eastAsia="zh-CN" w:bidi="ar"/>
              </w:rPr>
              <w:t xml:space="preserve">程软件。</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AK3-0</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四足机器人</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afterAutospacing="0"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一、功能描述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#1.可实现AI边缘计算图形化编程，例如骨骼识别，手势识别，人脸检测，语音识别等常用AI程序;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#2.可实现物体抓取，全向移动，六维姿态控制，多种运动步态及运动叠加，内置陀螺仪，可保持身体自平衡;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#3.产品配套编程云平台，可以通过无线wifi对机器狗进行AI编程;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#4.伺服舵机具有关节角度回读功能，可用于机器人示教;</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二、配置要求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#1.机器狗套件包含15个总线舵机；AI模组；机器狗驱动和钣金件；电源适配器 1个;</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#2.机器狗零件材质为铝合金材质，阳极氧化上色，安全无毒;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#3.定制串口总线伺服舵机，可实现精准动作的控制及表达;</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#4.配套完整的课程体系，包含教学资料以及编程云平台。机器狗结构开源并配套开源SDK;</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三、技术参数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#1.舵机参数型号：总线串口舵机,输出扭矩：4.5KG•CM,转速（S/60°）：0.1 S/60°,精度：0.01,工作电压范围：4.8V～7.4V,工作温度：-20℃～ +60℃,角度范围：0~360°,重量：20±1g,马达类型：空心杯;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#2.编程模组参数：模块：ESP32,按键：2个可编程按键,外接：iic和usb等。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AI摄像头参数：64位RISC-V神经网络处理器K210；板载ESP8285-WiFi芯片，可以直接通过Arduino进行编程开发，实现云端图像识别，无线图传，AIoT物联网等应用。ESP8285可以作为K210的协处理器，无需外接主控也可进行AI编程的学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#4.电源系统：充电器输入电压：100-240V AC 50/60Hz；充电器输出电压：8.4V；充电器输出电流：1A，具有过流保护特性，防止过充爆炸;电池：18650标准3500毫安3C放电;</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#5.整机系统：默认姿态尺寸：28*15*18CM；重量：≥915g；结构：1.5mm阳极氧化铝合金;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#6.最新升级包，可以进行明年白名单赛事;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四、课程参数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#1.机器狗系列课程，包含</w:t>
            </w:r>
            <w:r>
              <w:rPr>
                <w:rFonts w:hint="eastAsia" w:ascii="宋体" w:hAnsi="宋体" w:cs="宋体"/>
                <w:i w:val="0"/>
                <w:iCs w:val="0"/>
                <w:color w:val="auto"/>
                <w:sz w:val="21"/>
                <w:szCs w:val="21"/>
                <w:u w:val="none"/>
                <w:lang w:val="en-US" w:eastAsia="zh-CN" w:bidi="ar"/>
              </w:rPr>
              <w:t xml:space="preserve">多个</w:t>
            </w:r>
            <w:r>
              <w:rPr>
                <w:rFonts w:hint="eastAsia" w:ascii="宋体" w:hAnsi="宋体" w:eastAsia="宋体" w:cs="宋体"/>
                <w:i w:val="0"/>
                <w:iCs w:val="0"/>
                <w:color w:val="auto"/>
                <w:sz w:val="21"/>
                <w:szCs w:val="21"/>
                <w:u w:val="none"/>
                <w:lang w:val="en-US" w:eastAsia="zh-CN" w:bidi="ar"/>
              </w:rPr>
              <w:t xml:space="preserve">模块，≥30课时，其中包括《知识科普》系列课程，在这个模块中，学生将了解到什么是人工智能，人工智能的历史、图灵测试是什么、机器人的发展史，以及人工智能带给我们的思考。在《机械狗基础》系列课程中，学生将探索机器狗的神奇奥秘；在《编程基础》系列课程中，可快速提升编程技能；《智能图像》系列课程中，通过AI接口和机器狗运动结合，让学生探索AI和机器人结合。</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AK3-0</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A类场地</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#1.最新升级包，可以进行明年白名单赛事。</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7633"/>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AK3-0</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轮式机器人</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一、功能描述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#1.支持Arduino IDE、Mind+、Mixly等主流编程软件，支持图形化编程;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#2.支持物品的颜色识别，便签识别、精准抓取等基础功能;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#3.采用双滑轨结构能够精准控制臂的前后上下的移动，减少了角度的调试;</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#4.采用麦克纳姆轮结构能够前后左右移动;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#5.能够越过2cm障碍;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二、配置要求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#1.B类机器人套件包含加厚底盘、定制滑轨、定制升降臂，配套二哈识图视觉传感器;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#2.机器人滑轨采用工业导轨，高强度高精度;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#3.巡线传感器能够检测2cm-10cm距离;</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#4.定位物体采用高精度激光测距模块;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#5.配套完整的使用教程，包含教学资料以及编程平台;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三、技术参数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#1.舵机参数型号：总线舵机,输出扭矩：20KG•CM；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#2.编程主控参数：模块：arduino2560,电机接口：4路,舵机接口：总线串口模式,按键：一个复位按钮五个按键,外接：iic和串口等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#3.电源系统：充电器输入电压：100-240V AC 50/60Hz；充电器输出电压：8.4V；充电器输出电流：1A，具有过流保护特性，防止过充爆炸;电池：锂电池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#4.整机系统尺寸：245mm*265mm*295mm；重量：3200g。</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AK3-0</w:t>
            </w: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B类场地</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#1.最新升级包，可以进行明年白名单赛事。</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4759"/>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AK3-0</w:t>
            </w:r>
            <w:r>
              <w:rPr>
                <w:rFonts w:hint="eastAsia" w:ascii="宋体" w:hAnsi="宋体" w:cs="宋体"/>
                <w:i w:val="0"/>
                <w:iCs w:val="0"/>
                <w:color w:val="auto"/>
                <w:sz w:val="21"/>
                <w:szCs w:val="21"/>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智能无人机C类竞赛套装</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#1.尺寸：≥230mm轴距；</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#2.重量：飞机全重≥129g（含保护圈）；最大起飞重量≥150g；</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#3.马达：820空心杯电机；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#4.电池：容量1200mAh；标称电压3.7V 25C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#5.飞行时间：悬停环境下约12分钟；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#6.飞行控制板：支持多种飞行模式，支持C语言编程，含光流模块、视觉识别模块、语音控制模块、激光定高模块；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#7.遥控器：自带显示屏，2.4G通讯，可实时查看各种传感器状态，能够设置各种飞行模式；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#8.光流模块：支持光流定位；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#9.激光模块：采用激光定高；</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#10.视觉识别模块：可识别系统自带标签，能够完成巡线、跟踪、颜色识别等任务，支持Python编程，可做二次开发；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#11.可拓展下置12V直流电吸盘式电磁铁、舵机、摄像头、红外打靶等模块，可用于编程完成指定任务；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#12.自带图形化编程：在同一编程界面上，可以实现多机联动；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#13.自带RGB灯，灯光可编程控制，也可跟音乐节奏控制；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#14.自带编队软件，可以结合编队配套道具，可实现多机编队飞行；</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#15.支持互联通信模块，可与机器人、智能场景道具等产品实现物联数据交换；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#16.最新升级包，可以进行明年白名单赛事。</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架</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AK3-0</w:t>
            </w:r>
            <w:r>
              <w:rPr>
                <w:rFonts w:hint="eastAsia" w:ascii="宋体" w:hAnsi="宋体" w:cs="宋体"/>
                <w:i w:val="0"/>
                <w:iCs w:val="0"/>
                <w:color w:val="auto"/>
                <w:sz w:val="21"/>
                <w:szCs w:val="21"/>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智能无人机C类拓展材料包</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#1.套装内包含：工具箱≥1；结构≥1，电机≥4，桨叶≥8（套），保护罩≥8，充电器≥1，电池≥2，备用螺丝若干。</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AK3-</w:t>
            </w:r>
            <w:r>
              <w:rPr>
                <w:rFonts w:hint="eastAsia" w:ascii="宋体" w:hAnsi="宋体" w:cs="宋体"/>
                <w:i w:val="0"/>
                <w:iCs w:val="0"/>
                <w:color w:val="auto"/>
                <w:sz w:val="21"/>
                <w:szCs w:val="21"/>
                <w:u w:val="none"/>
                <w:lang w:val="en-US" w:eastAsia="zh-CN" w:bidi="ar"/>
              </w:rPr>
              <w:t xml:space="preserve">08</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智能无人机C类抓取结构</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#1、抓取结构*1，可完成物块抓取任务。</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AK3-</w:t>
            </w:r>
            <w:r>
              <w:rPr>
                <w:rFonts w:hint="eastAsia" w:ascii="宋体" w:hAnsi="宋体" w:cs="宋体"/>
                <w:i w:val="0"/>
                <w:iCs w:val="0"/>
                <w:color w:val="auto"/>
                <w:sz w:val="21"/>
                <w:szCs w:val="21"/>
                <w:u w:val="none"/>
                <w:lang w:val="en-US" w:eastAsia="zh-CN" w:bidi="ar"/>
              </w:rPr>
              <w:t xml:space="preserve">09</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智能无人机C类电池</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#1.插头方式:空对空小白头;容量:1200mAh 3.7V 25C ;尺寸:50*24*8MM;重量:≥21G。</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AK3-</w:t>
            </w:r>
            <w:r>
              <w:rPr>
                <w:rFonts w:hint="eastAsia" w:ascii="宋体" w:hAnsi="宋体" w:cs="宋体"/>
                <w:i w:val="0"/>
                <w:iCs w:val="0"/>
                <w:color w:val="auto"/>
                <w:sz w:val="21"/>
                <w:szCs w:val="21"/>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C类机器人竞赛场地</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#1.场地道具包含：EVA物块≥6（4蓝2红），竖杆≥9，卡扣若干，圆环≥2，底座≥6，圆柱≥1；场地地图尺寸：≥2m*4m，喷绘布材质；最新升级包，可以进行明年白名单赛事。</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4279"/>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AK3-1</w:t>
            </w:r>
            <w:r>
              <w:rPr>
                <w:rFonts w:hint="eastAsia" w:ascii="宋体" w:hAnsi="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机器狗</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#1.机械与电气参数：站立尺寸约70×31×40cm，重量（含电池）约15kg，铝合金+高强度工程塑料，供电电压约28V—33.6V，工作最大功率约3000W；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#2.标配4D超广角激光雷达,感知系统提升200%,4D 激光雷达 L1，360°x90°半球形超广角感知能力，拥有超低盲区，最小探测距离低至 0.05m，配有高清广角相机。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#3.超大关节运动空间：机身约为-48°～48°，大腿约为-200～90°，小腿约为-156°～-48°；                                                                   </w:t>
            </w:r>
            <w:r>
              <w:rPr>
                <w:rFonts w:hint="eastAsia" w:ascii="宋体" w:hAnsi="宋体" w:eastAsia="宋体" w:cs="宋体"/>
                <w:i w:val="0"/>
                <w:iCs w:val="0"/>
                <w:color w:val="auto"/>
                <w:sz w:val="21"/>
                <w:szCs w:val="21"/>
                <w:u w:val="none"/>
                <w:lang w:val="en-US" w:eastAsia="zh-CN" w:bidi="ar"/>
              </w:rPr>
              <w:t xml:space="preserve">                                                                                                                                                                                                                      #4.运动速度：0～3.5m/，最大关节扭矩约45N.m；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#5.拥有强大计算核心：内置运动控制器、高性能ARM处理器，超级AI算力。</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#6.具备跳跃/空中转体/跳舞/双腿站立等功能，可执行伸懒腰、握手、开心、扑人、坐下等多种动作姿态；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#7.腿和机身连接处具备全向柔性缓冲结构，可吸收全</w:t>
            </w:r>
            <w:r>
              <w:rPr>
                <w:rFonts w:hint="eastAsia" w:ascii="宋体" w:hAnsi="宋体" w:cs="宋体"/>
                <w:i w:val="0"/>
                <w:iCs w:val="0"/>
                <w:color w:val="auto"/>
                <w:sz w:val="21"/>
                <w:szCs w:val="21"/>
                <w:u w:val="none"/>
                <w:lang w:val="en-US" w:eastAsia="zh-CN" w:bidi="ar"/>
              </w:rPr>
              <w:t xml:space="preserve">方位</w:t>
            </w:r>
            <w:r>
              <w:rPr>
                <w:rFonts w:hint="eastAsia" w:ascii="宋体" w:hAnsi="宋体" w:eastAsia="宋体" w:cs="宋体"/>
                <w:i w:val="0"/>
                <w:iCs w:val="0"/>
                <w:color w:val="auto"/>
                <w:sz w:val="21"/>
                <w:szCs w:val="21"/>
                <w:u w:val="none"/>
                <w:lang w:val="en-US" w:eastAsia="zh-CN" w:bidi="ar"/>
              </w:rPr>
              <w:t xml:space="preserve">冲击,具有良好的缓冲功能，拥有从高度1米处跌落不会损坏并能在2秒内继续行走的能力；</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#8.支持图形化编程，具备APP上帝视角，APP沉浸式机器狗模拟器功能，内置超级动态伴随自主避障系统、无线矢量定位伴随模组；                                                                                                                          #9.连接方式：支持Wi-Fi6双频无线、蓝牙、4G模组连接；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#10.支持语音功能、智能伴随、探物避障，配有手持式遥控器、智能电池、充电器。</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264"/>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AK3-1</w:t>
            </w:r>
            <w:r>
              <w:rPr>
                <w:rFonts w:hint="eastAsia" w:ascii="宋体" w:hAnsi="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AI智能机器人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优创未来</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一、功能描述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#1.一款多拟态AI机器人，产品包含结构件、执行件和主控。配合3D动态图纸和可视化编程，趣味性的学习加动手操作，让学生从零基础轻松进入机器人世界，要求满足课程16主题，64课时学习;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#2.平台同时能运行多个算法模型;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#3.编程平台开放了python sdk，配合第三方python工具实现更开放的编程;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二、配置要求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#1.≥26个种类，≥58个零件，可构建主流机器人形态，可搭建变形工程车、机械臂、麦轮车、机器狗等至少五种形态；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#2.多功能控制器：配置≥3麦阵列麦克风，喇叭模块，触控显示屏，≥9轴陀螺仪，开源接口等，可以实现自然语音交互、机器人运动控制等功能，多个模块接口，实现设计程序运行，让搭建的作品动起来；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#3.智能语音：本地VAD、在线ASR和在线TTS语音功能、NLP功能、3麦降噪、响度检测；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机器视觉：单、双轨车道识别、二维码识别、AprilTag定位识别、交通标志识别、车牌识别、颜色识别、自定义颜色识别、人脸识别、人脸特征（口罩、情绪、性别）识别、人体姿态识别、文字识别、手势识别、自定义模型训练CNN、Wi-Fi图传、识别结果图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#5.运控算法：自适应算法、麦伦运控算法、机械臂算法、里程算法;</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三、技术参数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#1.主芯片参数如下：内存：≥32GB；NPU：≥1 TOPS；闪存：≥4GB;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#2.舵机参数如下：最大扭矩：约13.0 kgf.cm；最大转速：≥60 RPM ；控制精度：空载1°，带载2°；角度范围：0～360°；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#3.减速电机参数如下：最大扭矩：约2.0 kgf.cm；最大转速：≥360 RPM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#4.摄像头模组参数如下：视场角：106°；像素：1M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#5.测距模组参数如下：检测距离：4-200 cm；工作波段：940 nm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#6.最新升级包，可以进行明年白名单赛事。</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022"/>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AK3-1</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优创未来场地</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#1.≥18个种类，≥70个部件，支持学生完成AI城市奇兵课程；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#2.该产品的小球和方块采用新型环保塑料发泡材料（EVA），具有良好的缓冲、抗震、防潮、抗化学腐蚀等优点;</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#3.该产品的识别卡片采用了硬卡纸，具有不易破损的特点;</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#4.地图包参数如下：约2000*1600mm (mm) ，地板膜过哑胶,四色印刷，高精度喷绘;</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#5.最新升级包，可以进行明年白名单赛事。</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AK3-1</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环境布置</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技术参数要求同“AB1-44环境布置”</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bl>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bl>
      <w:tblPr>
        <w:tblStyle w:val="727"/>
        <w:tblW w:w="1034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73"/>
        <w:gridCol w:w="1359"/>
        <w:gridCol w:w="6615"/>
        <w:gridCol w:w="720"/>
        <w:gridCol w:w="681"/>
      </w:tblGrid>
      <w:tr>
        <w:trPr>
          <w:trHeight w:val="567" w:hRule="exact"/>
        </w:trPr>
        <w:tc>
          <w:tcPr>
            <w:gridSpan w:val="5"/>
            <w:shd w:val="clear" w:color="auto" w:fill="auto"/>
            <w:tcBorders>
              <w:top w:val="single" w:color="000000" w:sz="4" w:space="0"/>
              <w:left w:val="single" w:color="000000" w:sz="4" w:space="0"/>
              <w:bottom w:val="single" w:color="auto" w:sz="4" w:space="0"/>
              <w:right w:val="single" w:color="000000" w:sz="4" w:space="0"/>
            </w:tcBorders>
            <w:tcW w:w="103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AL-舞蹈教室</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fldChar w:fldCharType="begin"/>
            </w:r>
            <w:r>
              <w:rPr>
                <w:rFonts w:hint="eastAsia" w:ascii="宋体" w:hAnsi="宋体" w:eastAsia="宋体" w:cs="宋体"/>
                <w:b/>
                <w:bCs/>
                <w:i w:val="0"/>
                <w:iCs w:val="0"/>
                <w:color w:val="auto"/>
                <w:sz w:val="21"/>
                <w:szCs w:val="21"/>
                <w:u w:val="none"/>
                <w:lang w:val="en-US" w:eastAsia="zh-CN" w:bidi="ar"/>
              </w:rPr>
              <w:instrText xml:space="preserve"> HYPERLINK "" \l "目录!A1" </w:instrText>
            </w:r>
            <w:r>
              <w:rPr>
                <w:rFonts w:hint="eastAsia" w:ascii="宋体" w:hAnsi="宋体" w:eastAsia="宋体" w:cs="宋体"/>
                <w:b/>
                <w:bCs/>
                <w:i w:val="0"/>
                <w:iCs w:val="0"/>
                <w:color w:val="auto"/>
                <w:sz w:val="21"/>
                <w:szCs w:val="21"/>
                <w:u w:val="none"/>
                <w:lang w:val="en-US" w:eastAsia="zh-CN" w:bidi="ar"/>
              </w:rPr>
              <w:fldChar w:fldCharType="separate"/>
            </w:r>
            <w:r>
              <w:rPr>
                <w:rStyle w:val="751"/>
                <w:rFonts w:hint="eastAsia" w:ascii="宋体" w:hAnsi="宋体" w:eastAsia="宋体" w:cs="宋体"/>
                <w:b/>
                <w:bCs/>
                <w:i w:val="0"/>
                <w:iCs w:val="0"/>
                <w:color w:val="auto"/>
                <w:sz w:val="21"/>
                <w:szCs w:val="21"/>
                <w:u w:val="none"/>
              </w:rPr>
              <w:t xml:space="preserve">序号</w:t>
            </w:r>
            <w:r>
              <w:rPr>
                <w:rFonts w:hint="eastAsia" w:ascii="宋体" w:hAnsi="宋体" w:eastAsia="宋体" w:cs="宋体"/>
                <w:b/>
                <w:bCs/>
                <w:i w:val="0"/>
                <w:iCs w:val="0"/>
                <w:color w:val="auto"/>
                <w:sz w:val="21"/>
                <w:szCs w:val="21"/>
                <w:u w:val="none"/>
                <w:lang w:val="en-US" w:eastAsia="zh-CN" w:bidi="ar"/>
              </w:rPr>
              <w:fldChar w:fldCharType="end"/>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AL1-01</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把杆</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#1.水曲柳杆长2m±5mm、3m±5mm、4m±5mm，可根据教室实际尺寸配置，直径55mm，内有22mm直径锰钢，带弹性， ABS移动底座，支架采用优质无缝钢管焊接而成，颜色珍珠白、高亮。活动升降</w:t>
            </w:r>
            <w:r>
              <w:rPr>
                <w:rFonts w:hint="eastAsia" w:ascii="宋体" w:hAnsi="宋体" w:cs="宋体"/>
                <w:i w:val="0"/>
                <w:iCs w:val="0"/>
                <w:color w:val="auto"/>
                <w:sz w:val="21"/>
                <w:szCs w:val="21"/>
                <w:u w:val="none"/>
                <w:lang w:val="en-US" w:eastAsia="zh-CN" w:bidi="ar"/>
              </w:rPr>
              <w:t xml:space="preserve">内</w:t>
            </w:r>
            <w:r>
              <w:rPr>
                <w:rFonts w:hint="eastAsia" w:ascii="宋体" w:hAnsi="宋体" w:eastAsia="宋体" w:cs="宋体"/>
                <w:i w:val="0"/>
                <w:iCs w:val="0"/>
                <w:color w:val="auto"/>
                <w:sz w:val="21"/>
                <w:szCs w:val="21"/>
                <w:u w:val="none"/>
                <w:lang w:val="en-US" w:eastAsia="zh-CN" w:bidi="ar"/>
              </w:rPr>
              <w:t xml:space="preserve">芯为优质电镀圆管，螺旋拉销式升降控制装备，升降高度可调节40cm（80-120cm）。</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AL1-02</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练功凳</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#1.简约</w:t>
            </w:r>
            <w:r>
              <w:rPr>
                <w:rFonts w:hint="eastAsia" w:ascii="宋体" w:hAnsi="宋体" w:cs="宋体"/>
                <w:i w:val="0"/>
                <w:iCs w:val="0"/>
                <w:color w:val="auto"/>
                <w:sz w:val="21"/>
                <w:szCs w:val="21"/>
                <w:u w:val="none"/>
                <w:lang w:val="en-US" w:eastAsia="zh-CN" w:bidi="ar"/>
              </w:rPr>
              <w:t xml:space="preserve">现代</w:t>
            </w:r>
            <w:r>
              <w:rPr>
                <w:rFonts w:hint="eastAsia" w:ascii="宋体" w:hAnsi="宋体" w:eastAsia="宋体" w:cs="宋体"/>
                <w:i w:val="0"/>
                <w:iCs w:val="0"/>
                <w:color w:val="auto"/>
                <w:sz w:val="21"/>
                <w:szCs w:val="21"/>
                <w:u w:val="none"/>
                <w:lang w:val="en-US" w:eastAsia="zh-CN" w:bidi="ar"/>
              </w:rPr>
              <w:t xml:space="preserve">设计、超纤皮方形、材质：超纤皮，35*35*60cm，颜色随机。</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AL1-03</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压腿凳</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#1.练功凳，长2米*宽24厘米*高30厘米±5mm，中间海绵一层，表面采用皮革包裹。</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AL1-04</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压腿砖</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#1.环保材质，无害物质，防水性强，不易沾水，高密度海绵泡沫砖，尺寸：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23*15*7cm±5mm。</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AL1-05</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瑜伽垫</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#1.尺寸：长185cmX宽80cmX厚15mm±5mm，高密度NBR材质。</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面</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AL1-06</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橡胶地垫</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#1.绿色环保专业型pvc舞蹈地胶，无毒无味，减震防滑，耐磨，不收缩变形。</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平方</w:t>
            </w:r>
            <w:r>
              <w:rPr>
                <w:rFonts w:hint="eastAsia" w:ascii="宋体" w:hAnsi="宋体" w:eastAsia="宋体" w:cs="宋体"/>
                <w:i w:val="0"/>
                <w:iCs w:val="0"/>
                <w:color w:val="auto"/>
                <w:sz w:val="21"/>
                <w:szCs w:val="21"/>
                <w:u w:val="none"/>
                <w:lang w:val="en-US" w:eastAsia="zh-CN" w:bidi="ar"/>
              </w:rPr>
              <w:t xml:space="preserve">米</w:t>
            </w:r>
            <w:r/>
          </w:p>
        </w:tc>
      </w:tr>
      <w:tr>
        <w:trPr>
          <w:trHeight w:val="216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AL1-07</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全频主音箱</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#1.频率响应：54Hz-20KHz；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#2.低音单元≥1×12"；</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#3.高音单元≥1×1.75"；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#4.系统：2way speaker；</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#5.承受功率≥400W；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#6.灵敏度≥98dB1w/1m；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#7.最大声压≥124dB；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#8.阻抗：8Ω。</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222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AL1-08</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功率放大器</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#1.采用智能控制强制散热设计，具有风机</w:t>
            </w:r>
            <w:r>
              <w:rPr>
                <w:rFonts w:hint="eastAsia" w:ascii="宋体" w:hAnsi="宋体" w:cs="宋体"/>
                <w:i w:val="0"/>
                <w:iCs w:val="0"/>
                <w:color w:val="auto"/>
                <w:sz w:val="21"/>
                <w:szCs w:val="21"/>
                <w:u w:val="none"/>
                <w:lang w:val="en-US" w:eastAsia="zh-CN" w:bidi="ar"/>
              </w:rPr>
              <w:t xml:space="preserve">噪声</w:t>
            </w:r>
            <w:r>
              <w:rPr>
                <w:rFonts w:hint="eastAsia" w:ascii="宋体" w:hAnsi="宋体" w:eastAsia="宋体" w:cs="宋体"/>
                <w:i w:val="0"/>
                <w:iCs w:val="0"/>
                <w:color w:val="auto"/>
                <w:sz w:val="21"/>
                <w:szCs w:val="21"/>
                <w:u w:val="none"/>
                <w:lang w:val="en-US" w:eastAsia="zh-CN" w:bidi="ar"/>
              </w:rPr>
              <w:t xml:space="preserve">小，散热效率高等特点；</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#2.内置智能压限系统，控制功率模块及扬声器系统在安全范围内工作；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#3.具有BRI桥接、STE 立体声、PAR 立体声等模式，≥2 种增益开关可选；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#4.功率放大电路，具有完善可靠的安全保护措施和工作状态指示，让用户放心使用；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#5.输入阻抗:10KΩ 非平衡.20KΩ 平衡；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#6.频率响应(@1W 功率下）:20-20KHz/±0.5dB。                                                                                             </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59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AL1-09</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声纹识别反馈抑制器</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#1.输入阻抗20KΩ，输出阻抗100Ω；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#2.输入范围：＋6dB-180dB；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#3.最大功耗：≤50 VA；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#4.频率响应：200Hz - 16 kHz（±1dB）；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#5.失真度：&lt; 0.02%（1 kHz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#6.增益调节范围： 0 dB -12dB；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#7.信噪比：&gt; 95 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#8.内置≥5级声纹筛，可以精确筛选出音箱的声音信号，并滤除掉。</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119"/>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AL1-10</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穿戴式无线麦克风</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#1.通讯方式，采用2.4G通讯方式，自动调频；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#2.多变穿戴方式，穿着随心，行走随意；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#3.无续航焦虑（单咪续航6小时，配置快速充电仓，充电仓可连续充电2次以上）；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#4.互动更轻松（一个接收器可配置单咪或双咪使用，并支持多套接收系统同时使用）；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#5.多室使用，杜绝串频（任意麦克风都可以与任意接收器配对）；                                                                       </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686"/>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AL1-11</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接收盒</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#1.便于安装和更换，适用性强；具备一路USB供电接口，信号输出4P凤凰插座及5V供电接口。                                                                                                                                                          </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242"/>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AL1-12</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调音台</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#1、8路MIC/LINE，1组立体声输入（9/10），1组RCA音轨立体声+1路USB；支持48V幻象供电；10路输出（2路主输出+2路编组+2路辅助输出+1路监听输出+1路耳机输出+1组立体声录音输出）。</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AL1-13</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电源时序器</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#1.LED数码管显示屏，可实时显示当前电压，编辑通道状态；8路通道每通道额定2.2KW电源，通道延时1秒；采用新国标电源插座，安全有保障；配置RS232接口，支持外部中控设备控制。</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16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AL1-14</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音频处理器</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#1.128*64显示屏；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#2.总谐波失真(1kHz)：≤0.02%；</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#3.信噪比（A计权）：≥105dB；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#4.最大输入电平：≥19dBu；</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#5.最大输出电平：≥19dBu；</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#6.动态范围：≥113dB；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#7.串音：≥100dB；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#8.增益差：≤0.5dB。</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16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AL1-15</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功放</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#1.此系列为AB类功放，既有A类功放的高音质，又有B类功放的高效率，两者完美结合；整机省电且声音干净细腻；</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#2.高速光电隔离限幅，整机大动态下限幅启控保证失真1%以下；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#3.小信号输入采用高频电压，低失真、低噪声电路；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#4.采用风道散热结构，配合高效率铲齿散热，智能控制风扇强度，散热效率大大提高；</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#5.具有软保护、短路、过热、过载、欠压、直流保护等功能；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#6.具有立体声、并联、桥接多种模式选择，以及输入灵敏度选择。</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432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AL1-16</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副音箱</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#1.8寸两单元两分频全频专业音箱；</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#2.由一只34芯高音和8寸低频单元组成；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#3.高密度纤维板箱体，表面雨点漆面处理；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#4.高音清晰，中音饱满，低频沉稳；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#5.支持顶吊/横吊/后支撑/底支撑等多种安装方式；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#6.高音单元：1×1＂(25mm)/1.4＂voice coil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#7.低音单元：1×8＂(200mm)/1.4＂voice coil；</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#8.频响范围：60Hz-20KHz；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#9.灵 敏 度：94dB/M/W；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#10.最大声压：114dB continuous,120dB peak；</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#11.额定功率：200W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#12.峰值功率：800W；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#13.指 向 性：90°×50°；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#14.额定阻抗：8 ohm；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#15.保 护 网：钢网；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#16.接线方式：2×Speakon NL4。</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AL1-17</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机柜</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#1.机柜规格：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550mm*400mm*600mm，箱体：0.5mm立梁：0.8mm；含1支落地式话筒支架，2*1.5㎡专业工程音箱线1卷以及音响系统的设备连接线材。</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579"/>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AL1-18</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ABS更衣柜</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#1.单门规格高455mm*宽385mm*深468mm （不含底座）;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#2.板材框架厚度：侧板22mm 顶板30mm  门板 27mm  底座 80mm;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#3.柜体、柜门必须采用100%全新ABS塑料，五大合成树脂之一制成。不得有两种或多种塑料混搭，柜体不使用任何五金件（锁具除外）;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#4.每门标配配件：机械锁*1个，眼镜盒*1个，门牌号*1张。</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AL1-19</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更衣凳</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#1.长凳全部为ABS全新工程塑料制成，强度高韧性好、耐冲击、不易腐蚀无毒无味、环保耐用，尺寸：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长1500mm×宽400mm×高450mm;采用钢制模具注塑一次成型;产品不变形、不扭曲达到可重复拆装使用。</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AL1-20</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舞蹈鞋柜</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#1.实木材质，原木色，尺寸根据教室需要定制;尺寸：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100*30*70cm。</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AL1-21</w:t>
            </w:r>
            <w:r/>
          </w:p>
        </w:tc>
        <w:tc>
          <w:tcPr>
            <w:shd w:val="clear" w:color="auto" w:fill="auto"/>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环境布置</w:t>
            </w:r>
            <w:r/>
          </w:p>
        </w:tc>
        <w:tc>
          <w:tcPr>
            <w:shd w:val="clear" w:color="auto" w:fill="auto"/>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技术参数要求同“AB1-44环境布置”</w:t>
            </w:r>
            <w:r/>
          </w:p>
        </w:tc>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bl>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bl>
      <w:tblPr>
        <w:tblStyle w:val="727"/>
        <w:tblW w:w="10402"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88"/>
        <w:gridCol w:w="1344"/>
        <w:gridCol w:w="6615"/>
        <w:gridCol w:w="735"/>
        <w:gridCol w:w="720"/>
      </w:tblGrid>
      <w:tr>
        <w:trPr>
          <w:trHeight w:val="567" w:hRule="exact"/>
        </w:trPr>
        <w:tc>
          <w:tcPr>
            <w:gridSpan w:val="5"/>
            <w:shd w:val="clear" w:color="auto" w:fill="auto"/>
            <w:tcW w:w="1040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4128" behindDoc="0" locked="0" layoutInCell="1" allowOverlap="1">
                      <wp:simplePos x="0" y="0"/>
                      <wp:positionH relativeFrom="column">
                        <wp:posOffset>0</wp:posOffset>
                      </wp:positionH>
                      <wp:positionV relativeFrom="paragraph">
                        <wp:posOffset>0</wp:posOffset>
                      </wp:positionV>
                      <wp:extent cx="38100" cy="76200"/>
                      <wp:effectExtent l="0" t="0" r="0" b="0"/>
                      <wp:wrapNone/>
                      <wp:docPr id="164" name="图片_1"/>
                      <wp:cNvGraphicFramePr/>
                      <a:graphic xmlns:a="http://schemas.openxmlformats.org/drawingml/2006/main">
                        <a:graphicData uri="http://schemas.openxmlformats.org/drawingml/2006/picture">
                          <pic:pic xmlns:pic="http://schemas.openxmlformats.org/drawingml/2006/picture">
                            <pic:nvPicPr>
                              <pic:cNvPr id="164" name="图片_1"/>
                              <pic:cNvPicPr/>
                              <pic:nvPr/>
                            </pic:nvPicPr>
                            <pic:blipFill>
                              <a:blip r:embed="rId16"/>
                              <a:stretch/>
                            </pic:blipFill>
                            <pic:spPr bwMode="auto">
                              <a:xfrm>
                                <a:off x="0" y="0"/>
                                <a:ext cx="38100" cy="76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position:absolute;z-index:251824128;o:allowoverlap:true;o:allowincell:true;mso-position-horizontal-relative:text;margin-left:0.0pt;mso-position-horizontal:absolute;mso-position-vertical-relative:text;margin-top:0.0pt;mso-position-vertical:absolute;width:3.0pt;height:6.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b/>
                <w:bCs/>
                <w:i w:val="0"/>
                <w:iCs w:val="0"/>
                <w:color w:val="auto"/>
                <w:sz w:val="21"/>
                <w:szCs w:val="21"/>
                <w:u w:val="none"/>
                <w:lang w:val="en-US" w:eastAsia="zh-CN" w:bidi="ar"/>
              </w:rPr>
              <w:t xml:space="preserve">AM-音乐合唱教室1</w:t>
            </w:r>
            <w:r/>
          </w:p>
        </w:tc>
      </w:tr>
      <w:tr>
        <w:trPr>
          <w:trHeight w:val="270"/>
        </w:trPr>
        <w:tc>
          <w:tcPr>
            <w:shd w:val="clear" w:color="auto" w:fill="auto"/>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auto"/>
            <w:tcW w:w="134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shd w:val="clear" w:color="auto" w:fill="auto"/>
            <w:tcW w:w="66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shd w:val="clear" w:color="auto" w:fill="auto"/>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shd w:val="clear" w:color="auto" w:fill="auto"/>
            <w:tcW w:w="720"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b/>
                <w:bCs/>
                <w:i w:val="0"/>
                <w:iCs w:val="0"/>
                <w:color w:val="auto"/>
                <w:sz w:val="21"/>
                <w:szCs w:val="21"/>
                <w:u w:val="none"/>
                <w:lang w:val="en-US" w:eastAsia="zh-CN"/>
              </w:rPr>
              <w:suppressLineNumbers w:val="0"/>
            </w:pPr>
            <w:r>
              <w:rPr>
                <w:rFonts w:hint="eastAsia" w:ascii="宋体" w:hAnsi="宋体" w:eastAsia="宋体" w:cs="宋体"/>
                <w:b/>
                <w:bCs/>
                <w:i w:val="0"/>
                <w:iCs w:val="0"/>
                <w:color w:val="auto"/>
                <w:sz w:val="21"/>
                <w:szCs w:val="21"/>
                <w:u w:val="none"/>
                <w:lang w:val="en-US" w:eastAsia="zh-CN"/>
              </w:rPr>
              <w:t xml:space="preserve">单位</w:t>
            </w:r>
            <w:r/>
          </w:p>
        </w:tc>
      </w:tr>
      <w:tr>
        <w:trPr>
          <w:trHeight w:val="1620"/>
        </w:trPr>
        <w:tc>
          <w:tcPr>
            <w:shd w:val="clear" w:color="auto" w:fill="auto"/>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AM1-01</w:t>
            </w:r>
            <w:r/>
          </w:p>
        </w:tc>
        <w:tc>
          <w:tcPr>
            <w:shd w:val="clear" w:color="auto" w:fill="auto"/>
            <w:tcW w:w="134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钢琴</w:t>
            </w:r>
            <w:r/>
          </w:p>
        </w:tc>
        <w:tc>
          <w:tcPr>
            <w:shd w:val="clear" w:color="auto" w:fill="auto"/>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 </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：高 1195mm / 宽 1506mm / 深 618mm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#2.重量：≥23</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kg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#3.88键木质键盘；</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#4.击弦机：ABS击弦机 。音板：优选级云杉实木音板 ； 弦码：高强度实木层积式结构设计 ； 键盘：天然云杉实木键盘 ； 键盖安全装置：键盘盖缓降功能。</w:t>
            </w:r>
            <w:r/>
          </w:p>
        </w:tc>
        <w:tc>
          <w:tcPr>
            <w:shd w:val="clear" w:color="auto" w:fill="auto"/>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350"/>
        </w:trPr>
        <w:tc>
          <w:tcPr>
            <w:shd w:val="clear" w:color="auto" w:fill="auto"/>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AM1-02</w:t>
            </w:r>
            <w:r/>
          </w:p>
        </w:tc>
        <w:tc>
          <w:tcPr>
            <w:shd w:val="clear" w:color="auto" w:fill="auto"/>
            <w:tcW w:w="134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合唱台（固定式）</w:t>
            </w:r>
            <w:r/>
          </w:p>
        </w:tc>
        <w:tc>
          <w:tcPr>
            <w:shd w:val="clear" w:color="auto" w:fill="auto"/>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实木伸缩移动合唱台三层，120-130-75cm(长宽高)层宽40cm，层高25cm，橡胶木齿接板18mm厚，内部使用同等厚度板做龙骨，每层可承重500公斤以上，三层整体承重不小于1500公斤，整体台阶可伸缩，一二层可收纳第三层内部，收纳后尺寸120-50-75cm，台阶</w:t>
            </w:r>
            <w:r>
              <w:rPr>
                <w:rFonts w:hint="eastAsia" w:ascii="宋体" w:hAnsi="宋体" w:cs="宋体"/>
                <w:i w:val="0"/>
                <w:iCs w:val="0"/>
                <w:color w:val="auto"/>
                <w:sz w:val="21"/>
                <w:szCs w:val="21"/>
                <w:u w:val="none"/>
                <w:lang w:val="en-US" w:eastAsia="zh-CN" w:bidi="ar"/>
              </w:rPr>
              <w:t xml:space="preserve">底部</w:t>
            </w:r>
            <w:r>
              <w:rPr>
                <w:rFonts w:hint="eastAsia" w:ascii="宋体" w:hAnsi="宋体" w:eastAsia="宋体" w:cs="宋体"/>
                <w:i w:val="0"/>
                <w:iCs w:val="0"/>
                <w:color w:val="auto"/>
                <w:sz w:val="21"/>
                <w:szCs w:val="21"/>
                <w:u w:val="none"/>
                <w:lang w:val="en-US" w:eastAsia="zh-CN" w:bidi="ar"/>
              </w:rPr>
              <w:t xml:space="preserve">每层有4个静音</w:t>
            </w:r>
            <w:r>
              <w:rPr>
                <w:rFonts w:hint="eastAsia" w:ascii="宋体" w:hAnsi="宋体" w:cs="宋体"/>
                <w:i w:val="0"/>
                <w:iCs w:val="0"/>
                <w:color w:val="auto"/>
                <w:sz w:val="21"/>
                <w:szCs w:val="21"/>
                <w:u w:val="none"/>
                <w:lang w:val="en-US" w:eastAsia="zh-CN" w:bidi="ar"/>
              </w:rPr>
              <w:t xml:space="preserve">万向轮</w:t>
            </w: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4722"/>
        </w:trPr>
        <w:tc>
          <w:tcPr>
            <w:shd w:val="clear" w:color="auto" w:fill="auto"/>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AM1-03</w:t>
            </w:r>
            <w:r/>
          </w:p>
        </w:tc>
        <w:tc>
          <w:tcPr>
            <w:shd w:val="clear" w:color="auto" w:fill="auto"/>
            <w:tcW w:w="134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合唱台（移动式）</w:t>
            </w:r>
            <w:r/>
          </w:p>
        </w:tc>
        <w:tc>
          <w:tcPr>
            <w:shd w:val="clear" w:color="auto" w:fill="auto"/>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#1.尺寸：三层尺寸1230*1150*620±10mm；每层台阶款宽390±10mm，高210±10mm；小舞台尺寸:1540*1230*310±10mm；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#2.材质：高密度PE；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#3.工艺：吹塑制作，材质轻，耐磨抗压，抗氧化功能强，长期使用也不会产生开裂现象，硬度和强度高，吸水性小，优良的电绝缘性，耐寒；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#4.功能：合唱台台阶可翻转设计，可调整为两层合唱台也可以变为一个整体的小舞台，侧面轮子设计方便推移；</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▲5.须提供依据GB/T 1843-2008悬臂梁缺口冲击强度检测</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检测结论：符合。须提供依据GB/T 2411-2008邵氏硬度检测，检测结论:符合。依据GB/T 1043.1-2008简支梁缺口冲击检测，检测结论:符合；</w:t>
            </w:r>
            <w:r>
              <w:rPr>
                <w:rStyle w:val="971"/>
                <w:rFonts w:hint="eastAsia" w:ascii="宋体" w:hAnsi="宋体" w:eastAsia="宋体" w:cs="宋体"/>
                <w:b/>
                <w:bCs/>
                <w:color w:val="auto"/>
                <w:sz w:val="21"/>
                <w:szCs w:val="21"/>
                <w:lang w:val="en-US" w:eastAsia="zh-CN" w:bidi="ar"/>
              </w:rPr>
              <w:t xml:space="preserve">（提供具有CMA标识的第三方检测机构出具的检测报告原件扫描件）</w:t>
            </w:r>
            <w:r/>
          </w:p>
        </w:tc>
        <w:tc>
          <w:tcPr>
            <w:shd w:val="clear" w:color="auto" w:fill="auto"/>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540"/>
        </w:trPr>
        <w:tc>
          <w:tcPr>
            <w:shd w:val="clear" w:color="auto" w:fill="auto"/>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AM1-04</w:t>
            </w:r>
            <w:r/>
          </w:p>
        </w:tc>
        <w:tc>
          <w:tcPr>
            <w:shd w:val="clear" w:color="auto" w:fill="auto"/>
            <w:tcW w:w="134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表演地台</w:t>
            </w:r>
            <w:r/>
          </w:p>
        </w:tc>
        <w:tc>
          <w:tcPr>
            <w:shd w:val="clear" w:color="auto" w:fill="auto"/>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#1.实木橡胶木材质厚度≥18mm；尺寸≥120*300cm。（可根据现场定制）</w:t>
            </w:r>
            <w:r/>
          </w:p>
        </w:tc>
        <w:tc>
          <w:tcPr>
            <w:shd w:val="clear" w:color="auto" w:fill="auto"/>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4760"/>
        </w:trPr>
        <w:tc>
          <w:tcPr>
            <w:shd w:val="clear" w:color="auto" w:fill="auto"/>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AM1-05</w:t>
            </w:r>
            <w:r/>
          </w:p>
        </w:tc>
        <w:tc>
          <w:tcPr>
            <w:shd w:val="clear" w:color="auto" w:fill="auto"/>
            <w:tcW w:w="134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音乐凳</w:t>
            </w:r>
            <w:r/>
          </w:p>
        </w:tc>
        <w:tc>
          <w:tcPr>
            <w:shd w:val="clear" w:color="auto" w:fill="auto"/>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#1.尺寸：≥340*300*300mm。厚度：</w:t>
            </w:r>
            <w:r>
              <w:rPr>
                <w:rFonts w:hint="eastAsia" w:ascii="宋体" w:hAnsi="宋体" w:cs="宋体"/>
                <w:i w:val="0"/>
                <w:iCs w:val="0"/>
                <w:color w:val="auto"/>
                <w:sz w:val="21"/>
                <w:szCs w:val="21"/>
                <w:u w:val="none"/>
                <w:lang w:val="en-US" w:eastAsia="zh-CN" w:bidi="ar"/>
              </w:rPr>
              <w:t xml:space="preserve">座</w:t>
            </w:r>
            <w:r>
              <w:rPr>
                <w:rFonts w:hint="eastAsia" w:ascii="宋体" w:hAnsi="宋体" w:eastAsia="宋体" w:cs="宋体"/>
                <w:i w:val="0"/>
                <w:iCs w:val="0"/>
                <w:color w:val="auto"/>
                <w:sz w:val="21"/>
                <w:szCs w:val="21"/>
                <w:u w:val="none"/>
                <w:lang w:val="en-US" w:eastAsia="zh-CN" w:bidi="ar"/>
              </w:rPr>
              <w:t xml:space="preserve">面≥5mm,凳脚≥20mm,抽屉侧板≥3mm,抽屉前后板≥4.5mm；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#2.材质：优质ABS</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工艺：注塑制作。耐磨抗压，抗氧化功能强，长期使用也不会产生开裂现象。硬度和强度高，吸水性小，优良的电绝缘性，耐寒。凳脚须配防滑橡胶条。侧边必须为双层结构，增加产品的坚固性及承重性，保证产品使用过程中的安全性；配置pp塑料抽屉，抽屉自带限位功能，当储物移动时不会自然滑出，前门根据人体工程学设计凹型提手，后门设计镂空便携式提手。可堆叠，既可做合唱台，也可以作为收纳小柜子使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▲4.依据GB/T32487-2016《塑料家具通用技术条件》塑料件外观和理化性能检测，检测结果合格；</w:t>
            </w:r>
            <w:r>
              <w:rPr>
                <w:rStyle w:val="971"/>
                <w:rFonts w:hint="eastAsia" w:ascii="宋体" w:hAnsi="宋体" w:eastAsia="宋体" w:cs="宋体"/>
                <w:b/>
                <w:bCs/>
                <w:color w:val="auto"/>
                <w:sz w:val="21"/>
                <w:szCs w:val="21"/>
                <w:lang w:val="en-US" w:eastAsia="zh-CN" w:bidi="ar"/>
              </w:rPr>
              <w:t xml:space="preserve">（提供具有CMA标识的第三方检测机构出具的检测报告原件扫描件）</w:t>
            </w:r>
            <w:r/>
          </w:p>
        </w:tc>
        <w:tc>
          <w:tcPr>
            <w:shd w:val="clear" w:color="auto" w:fill="auto"/>
            <w:tcW w:w="73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shd w:val="clear" w:color="auto" w:fill="auto"/>
            <w:tcW w:w="7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bl>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bl>
      <w:tblPr>
        <w:tblStyle w:val="727"/>
        <w:tblW w:w="1034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8"/>
        <w:gridCol w:w="1314"/>
        <w:gridCol w:w="6630"/>
        <w:gridCol w:w="750"/>
        <w:gridCol w:w="666"/>
      </w:tblGrid>
      <w:tr>
        <w:trPr>
          <w:trHeight w:val="567" w:hRule="exact"/>
        </w:trPr>
        <w:tc>
          <w:tcPr>
            <w:gridSpan w:val="5"/>
            <w:shd w:val="clear" w:color="auto" w:fill="auto"/>
            <w:tcBorders>
              <w:top w:val="single" w:color="auto" w:sz="4" w:space="0"/>
              <w:left w:val="single" w:color="auto" w:sz="4" w:space="0"/>
              <w:bottom w:val="single" w:color="auto" w:sz="4" w:space="0"/>
              <w:right w:val="single" w:color="auto" w:sz="4" w:space="0"/>
            </w:tcBorders>
            <w:tcW w:w="103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AN-音乐教室2</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AN1-01</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钢琴</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技术参数同“AM1-01钢琴”</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AN1-02</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电子琴</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黑色机身，61键风琴键盘761种优质音色(包括45个中国民乐音色/民族乐鼓组+10个音音色+466种XGlite音色)270种优质伴毒型(包括35种中国风格伴毒)直触式操作中文印刷面板中文功能显示屏USB音频录音/播放MIDI格式多轨录音8x4注册记忆存储，可保存至 USB6W+6W优质扬声器48复音数快速采样功能 1台 。</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AN1-03</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非洲鼓</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#1.规格：12寸；材质：鼓身：桃花芯木；鼓面：老山羊皮；工艺：整木掏空、彩漆、点漆；颜色可</w:t>
            </w:r>
            <w:r>
              <w:rPr>
                <w:rFonts w:hint="eastAsia" w:ascii="宋体" w:hAnsi="宋体" w:cs="宋体"/>
                <w:i w:val="0"/>
                <w:iCs w:val="0"/>
                <w:color w:val="auto"/>
                <w:sz w:val="21"/>
                <w:szCs w:val="21"/>
                <w:u w:val="none"/>
                <w:lang w:val="en-US" w:eastAsia="zh-CN" w:bidi="ar"/>
              </w:rPr>
              <w:t xml:space="preserve">选择</w:t>
            </w: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AN1-04</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箱鼓</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#1.规格：长30，宽30，高50；材质：面板：桃花芯木；背侧板：桦木</w:t>
            </w:r>
            <w:r>
              <w:rPr>
                <w:rStyle w:val="963"/>
                <w:rFonts w:hint="eastAsia" w:ascii="宋体" w:hAnsi="宋体" w:eastAsia="宋体" w:cs="宋体"/>
                <w:color w:val="auto"/>
                <w:sz w:val="21"/>
                <w:szCs w:val="21"/>
                <w:lang w:val="en-US" w:eastAsia="zh-CN" w:bidi="ar"/>
              </w:rPr>
              <w:t xml:space="preserve">；响弦：两组各四根微螺旋箱鼓响弦；</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70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AN1-05</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音束</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#1.规格：33音；材质：阳极电镀铝合金音管。</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AN1-06</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邦戈鼓</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#1.规格：≥17.15cm；鼓身材质：橡木</w:t>
            </w:r>
            <w:r>
              <w:rPr>
                <w:rStyle w:val="963"/>
                <w:rFonts w:hint="eastAsia" w:ascii="宋体" w:hAnsi="宋体" w:eastAsia="宋体" w:cs="宋体"/>
                <w:color w:val="auto"/>
                <w:sz w:val="21"/>
                <w:szCs w:val="21"/>
                <w:lang w:val="en-US" w:eastAsia="zh-CN" w:bidi="ar"/>
              </w:rPr>
              <w:t xml:space="preserve">；鼓面材质：手选水牛皮。</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AN1-07</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大堂鼓</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#1.规格：≥16寸；材质：椿木黄牛皮。</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AN1-08</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小堂鼓</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#1.规格：≥6寸；鼓腔材质：椿木；鼓面材质：黄牛皮。</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AN1-09</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音叉</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#1.钢制，440Hz。</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AN1-10</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沙锤</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#1.木质，总长230㎜（含手柄）彩色，两个一组（一对）。</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AN1-11</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沙锤</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#1.沙锤：一副两个，木质柄0.8mm。沙锤：一副两个，木质柄长200mm以上，椰壳最小直径110mm。</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AN1-12</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卡巴撒</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#1.直径11.5CM 木制圈。</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AN1-13</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卡巴撒</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#1.直径6.5CM 木制圈。</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AN1-14</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双响筒</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#1.木质，木材本色，带敲击锤，筒直径10㎜，长度约180㎜ 棍长约15cm。</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副</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AN1-15</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木鱼</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#1.木鱼 要求：材质为椿木，八个为一组（8音）；每个尺寸分别为（宽±5mm*高±5mm）：95mm*85mm、90mm*80mm、85mm*75mm、80mm*70mm、75mm*65mm、70mm*60mm、65mm*55mm、60mm*50mm。正面方形，侧面三角形。颜色：红色.金色。手工制作，设有发音孔。附敲击槌1个，槌头1个；槌头直径为25mm，圆球形；把为圆柱形，直径为5mm，全长为195mm。敲击发出不同的声音。</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AN1-16</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铃鼓</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#1.木质鼓圈，常规尺寸各一副，鼓梆为高密度科技木质纤维。表面贴强化共振膜。双排钢合金材质铃片。高科技纤维鼓皮。</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AN1-17</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三角铁</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#1.黄铜制，边长分别为4英寸、6英寸、8英寸，三件一套。</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AN1-18</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碰铃</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#1.材质为黄铜，系丝带型，直径约为48mm.高度约为42mm.壁厚约为1mm；两个一对，手持碰撞发声 。</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副</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AN1-19</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大军鼓</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#1.尺寸：直径26英寸，高度12英寸，鼓腔:内为多层桦木，鼓圈：铝合金压铸。超强压铸合金鼓耳。正品聚酯膜鼓皮。镀锌</w:t>
            </w:r>
            <w:r>
              <w:rPr>
                <w:rFonts w:hint="eastAsia" w:ascii="宋体" w:hAnsi="宋体" w:cs="宋体"/>
                <w:i w:val="0"/>
                <w:iCs w:val="0"/>
                <w:color w:val="auto"/>
                <w:sz w:val="21"/>
                <w:szCs w:val="21"/>
                <w:u w:val="none"/>
                <w:lang w:val="en-US" w:eastAsia="zh-CN" w:bidi="ar"/>
              </w:rPr>
              <w:t xml:space="preserve">紧固件</w:t>
            </w:r>
            <w:r>
              <w:rPr>
                <w:rFonts w:hint="eastAsia" w:ascii="宋体" w:hAnsi="宋体" w:eastAsia="宋体" w:cs="宋体"/>
                <w:i w:val="0"/>
                <w:iCs w:val="0"/>
                <w:color w:val="auto"/>
                <w:sz w:val="21"/>
                <w:szCs w:val="21"/>
                <w:u w:val="none"/>
                <w:lang w:val="en-US" w:eastAsia="zh-CN" w:bidi="ar"/>
              </w:rPr>
              <w:t xml:space="preserve">。每个鼓都配有专业木制鼓棒</w:t>
            </w:r>
            <w:r>
              <w:rPr>
                <w:rFonts w:hint="eastAsia" w:ascii="宋体" w:hAnsi="宋体" w:cs="宋体"/>
                <w:i w:val="0"/>
                <w:iCs w:val="0"/>
                <w:color w:val="auto"/>
                <w:sz w:val="21"/>
                <w:szCs w:val="21"/>
                <w:u w:val="none"/>
                <w:lang w:val="en-US" w:eastAsia="zh-CN" w:bidi="ar"/>
              </w:rPr>
              <w:t xml:space="preserve">及</w:t>
            </w:r>
            <w:r>
              <w:rPr>
                <w:rFonts w:hint="eastAsia" w:ascii="宋体" w:hAnsi="宋体" w:eastAsia="宋体" w:cs="宋体"/>
                <w:i w:val="0"/>
                <w:iCs w:val="0"/>
                <w:color w:val="auto"/>
                <w:sz w:val="21"/>
                <w:szCs w:val="21"/>
                <w:u w:val="none"/>
                <w:lang w:val="en-US" w:eastAsia="zh-CN" w:bidi="ar"/>
              </w:rPr>
              <w:t xml:space="preserve">背架。</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AN1-20</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小军鼓</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#1.尺寸：14*5.5英寸，鼓腔:内为多层桦木，鼓圈：铝合金压铸。超强压铸合金鼓耳。正品聚酯膜鼓皮。镀锌</w:t>
            </w:r>
            <w:r>
              <w:rPr>
                <w:rFonts w:hint="eastAsia" w:ascii="宋体" w:hAnsi="宋体" w:cs="宋体"/>
                <w:i w:val="0"/>
                <w:iCs w:val="0"/>
                <w:color w:val="auto"/>
                <w:sz w:val="21"/>
                <w:szCs w:val="21"/>
                <w:u w:val="none"/>
                <w:lang w:val="en-US" w:eastAsia="zh-CN" w:bidi="ar"/>
              </w:rPr>
              <w:t xml:space="preserve">紧固件</w:t>
            </w:r>
            <w:r>
              <w:rPr>
                <w:rFonts w:hint="eastAsia" w:ascii="宋体" w:hAnsi="宋体" w:eastAsia="宋体" w:cs="宋体"/>
                <w:i w:val="0"/>
                <w:iCs w:val="0"/>
                <w:color w:val="auto"/>
                <w:sz w:val="21"/>
                <w:szCs w:val="21"/>
                <w:u w:val="none"/>
                <w:lang w:val="en-US" w:eastAsia="zh-CN" w:bidi="ar"/>
              </w:rPr>
              <w:t xml:space="preserve">。每个鼓都配有专业木制鼓棒及背带。</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AN1-21</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多音鼓</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#1.尺寸：直径6英寸、8英寸、10英寸、12英寸、13英寸，五种不同尺寸的鼓固定在一个背架上。鼓腔:内为多层桦木，鼓圈：铝合金压铸。超强压铸合金鼓耳。正品聚酯膜鼓皮。镀锌</w:t>
            </w:r>
            <w:r>
              <w:rPr>
                <w:rFonts w:hint="eastAsia" w:ascii="宋体" w:hAnsi="宋体" w:cs="宋体"/>
                <w:i w:val="0"/>
                <w:iCs w:val="0"/>
                <w:color w:val="auto"/>
                <w:sz w:val="21"/>
                <w:szCs w:val="21"/>
                <w:u w:val="none"/>
                <w:lang w:val="en-US" w:eastAsia="zh-CN" w:bidi="ar"/>
              </w:rPr>
              <w:t xml:space="preserve">紧固件</w:t>
            </w:r>
            <w:r>
              <w:rPr>
                <w:rFonts w:hint="eastAsia" w:ascii="宋体" w:hAnsi="宋体" w:eastAsia="宋体" w:cs="宋体"/>
                <w:i w:val="0"/>
                <w:iCs w:val="0"/>
                <w:color w:val="auto"/>
                <w:sz w:val="21"/>
                <w:szCs w:val="21"/>
                <w:u w:val="none"/>
                <w:lang w:val="en-US" w:eastAsia="zh-CN" w:bidi="ar"/>
              </w:rPr>
              <w:t xml:space="preserve">。配有专业木制鼓棒。</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AN1-22</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竖笛</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#1.6孔塑料竖笛，尺寸约：长32.5cm，宽3.2cm，附带清洁棒一支。产品采用食品级ABS无毒工程树脂材料制作，对学生使用无危害健康。</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57</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AN1-23</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竖笛</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#1.高音英式6孔木笛，安装轻松，携带方便。</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57</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AN1-24</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陶笛</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#1.单管十二孔中音C调（AC），优质陶瓷烧制，专业演奏级音色，带保护套机相关配饰。</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AN1-25</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葫芦丝</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#1.中音C调，天然葫芦，紫竹刻字白铜 双音可拆。</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AN1-26</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葫芦丝</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#1.降B调，天然葫芦，紫竹刻字白铜 双音可拆 。</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135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AN1-27</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堂鼓</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#1.材质：杨木制鼓腔、水牛皮鼓面 ，附带一对优质鼓棒，一套鼓架  ；规格:鼓面直径32CM（10寸），高度33CM；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#2.结构：由木制鼓圈和水牛皮鼓面组成。鼓圈与鼓面连接处用锚钉固定，更为结实。鼓圈</w:t>
            </w:r>
            <w:r>
              <w:rPr>
                <w:rFonts w:hint="eastAsia" w:ascii="宋体" w:hAnsi="宋体" w:cs="宋体"/>
                <w:i w:val="0"/>
                <w:iCs w:val="0"/>
                <w:color w:val="auto"/>
                <w:sz w:val="21"/>
                <w:szCs w:val="21"/>
                <w:u w:val="none"/>
                <w:lang w:val="en-US" w:eastAsia="zh-CN" w:bidi="ar"/>
              </w:rPr>
              <w:t xml:space="preserve">喷涂</w:t>
            </w:r>
            <w:r>
              <w:rPr>
                <w:rFonts w:hint="eastAsia" w:ascii="宋体" w:hAnsi="宋体" w:eastAsia="宋体" w:cs="宋体"/>
                <w:i w:val="0"/>
                <w:iCs w:val="0"/>
                <w:color w:val="auto"/>
                <w:sz w:val="21"/>
                <w:szCs w:val="21"/>
                <w:u w:val="none"/>
                <w:lang w:val="en-US" w:eastAsia="zh-CN" w:bidi="ar"/>
              </w:rPr>
              <w:t xml:space="preserve">红色环保油漆，鼓的侧面两端镶有铝制挂钩，可以同时挂在鼓架上使用；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#3.使用方法：左右</w:t>
            </w:r>
            <w:r>
              <w:rPr>
                <w:rFonts w:hint="eastAsia" w:ascii="宋体" w:hAnsi="宋体" w:cs="宋体"/>
                <w:i w:val="0"/>
                <w:iCs w:val="0"/>
                <w:color w:val="auto"/>
                <w:sz w:val="21"/>
                <w:szCs w:val="21"/>
                <w:u w:val="none"/>
                <w:lang w:val="en-US" w:eastAsia="zh-CN" w:bidi="ar"/>
              </w:rPr>
              <w:t xml:space="preserve">手</w:t>
            </w:r>
            <w:r>
              <w:rPr>
                <w:rFonts w:hint="eastAsia" w:ascii="宋体" w:hAnsi="宋体" w:eastAsia="宋体" w:cs="宋体"/>
                <w:i w:val="0"/>
                <w:iCs w:val="0"/>
                <w:color w:val="auto"/>
                <w:sz w:val="21"/>
                <w:szCs w:val="21"/>
                <w:u w:val="none"/>
                <w:lang w:val="en-US" w:eastAsia="zh-CN" w:bidi="ar"/>
              </w:rPr>
              <w:t xml:space="preserve">持鼓棒敲击鼓面即可。</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AN1-28</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中虎音锣</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#1.响铜制作，直径330mm，重量1.2kg，优质硬木锣锤，边缘无毛刺，锣面无裂缝，表面抛光氧化处理并涂油；音质无杂音。</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AN1-29</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小锣</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#1.响铜制作，直径220mm，重量0.4kg，优质硬木锣锤，边缘无毛刺，锣面无裂缝，表面抛光氧化处理并涂油；音质无杂音。</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AN1-30</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铙</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#1.响铜制作，直径270mm，边缘无毛刺，铙面无裂缝，表面抛光氧化处理并涂油；音质无杂音；铙面光、弧度适度、圆度准确、边缘厚度一致，中间的帽形大小和两面的音高要相同，两面为一副。</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副</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AN1-31</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钹</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响铜制作，直径150mm，碗径7cm，碗高2cm，重量0.4kg，边缘无毛刺，钹面无裂缝，表面抛光氧化处理并涂油；音质无杂音；钹面光、弧度适度、圆度准确、边缘厚度一致，中间的帽形大小和两面的音高要相同，两面为一副。</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副</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AN1-32</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乐谱架</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#1.黑色，金属材质，涂环保漆料，支架高度可调节（支架高度最高约94.5cm不含谱板高度），可折叠。带大网眼专业谱板尺寸长约49cm，宽约35cm。</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AN1-33</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音乐凳</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技术参数同“AM1-05音乐凳”</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AN1-34</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音箱</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寸二分音电路，采用大功率的低频单元，输出强劲、明亮的声音；特殊设计的两只高音结构，声音细腻，清脆悦耳，几何角度的装置方法，有效避免了易啸叫频段，使演唱更为得心应手；侧装的两只高音，加强了声场的反射音，使音色更富有余味。</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AN1-35</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功放</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#1.输出功率：2X250W/8Ω，4X130W/8Ω；灵敏度：≤220mV ；信噪比：≥80dB ；频率响应：20Hz-20KHz(±2dB)。</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AN1-36</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无线话筒</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#1.接收技术规格：具有音量显示，数字导频；机箱规格：标准1U；通道组数：双通道。</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3285"/>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AN1-37</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五线谱电教板</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#1.88键盘全乐理五线谱电教板，可进行音乐全乐理演示及讲解;</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#2.嵌入式应用程序，搭载于X86架构的所有操作系统内;</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#3.可外接电子琴、电钢琴等键盘设备，通过USB传输MIDI数据，实现硬件设备无限拓展;</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#4.88键位全乐理音阶展示，音阶跨度＜大字一组、＞小字四组，并具有上行高亮阶梯显示功能。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#5.88键可弹奏虚拟键盘，具有十指多点触发功能，五线谱区域高亮显示正在弹奏的五线谱音阶。外接电子琴、电钢琴弹奏时，五线谱区域高亮显示正在弹奏的五线谱音阶;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.具有全屏幕画笔功能，可将界面变为可书写的电子板书;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.具有键位保留系统，在多次弹奏键盘后，系统界面呈现多组高亮的音阶及虚拟键盘，可进行多组和弦对比教学;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.系统具有≥325种高保真音色，并具有开放的音源库，可进行音色拓展;</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9</w:t>
            </w:r>
            <w:r>
              <w:rPr>
                <w:rFonts w:hint="eastAsia" w:ascii="宋体" w:hAnsi="宋体" w:eastAsia="宋体" w:cs="宋体"/>
                <w:i w:val="0"/>
                <w:iCs w:val="0"/>
                <w:color w:val="auto"/>
                <w:sz w:val="21"/>
                <w:szCs w:val="21"/>
                <w:u w:val="none"/>
                <w:lang w:val="en-US" w:eastAsia="zh-CN" w:bidi="ar"/>
              </w:rPr>
              <w:t xml:space="preserve">.具有音名显示窗口，可显示当前所弹键位的音名及等音;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.具有≥24种国际通用调式的矩阵选择按键，任意选择调式后，主五线谱显示当前选择调式的调号，并</w:t>
            </w:r>
            <w:r>
              <w:rPr>
                <w:rFonts w:hint="eastAsia" w:ascii="宋体" w:hAnsi="宋体" w:cs="宋体"/>
                <w:i w:val="0"/>
                <w:iCs w:val="0"/>
                <w:color w:val="auto"/>
                <w:sz w:val="21"/>
                <w:szCs w:val="21"/>
                <w:u w:val="none"/>
                <w:lang w:val="en-US" w:eastAsia="zh-CN" w:bidi="ar"/>
              </w:rPr>
              <w:t xml:space="preserve">显示</w:t>
            </w:r>
            <w:r>
              <w:rPr>
                <w:rFonts w:hint="eastAsia" w:ascii="宋体" w:hAnsi="宋体" w:eastAsia="宋体" w:cs="宋体"/>
                <w:i w:val="0"/>
                <w:iCs w:val="0"/>
                <w:color w:val="auto"/>
                <w:sz w:val="21"/>
                <w:szCs w:val="21"/>
                <w:u w:val="none"/>
                <w:lang w:val="en-US" w:eastAsia="zh-CN" w:bidi="ar"/>
              </w:rPr>
              <w:t xml:space="preserve">一个八度的当前调式自然音阶，虚拟键盘将凸显这个八度音阶的键位，凸显的音阶键位随着调式变化而变化；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.具有简谱显示功能，弹奏凸显的音阶键位时，屏幕显示该键位及所对应的五线谱音阶在当前调式下的简谱;</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具有≥12种国际通用调式的关系大小调主和弦展示功能，最多显示24种调式，任意选择一种调号，系统将呈现该调号的大调调名及其关系小调的调名，并呈现两种调式的主音三和弦，点击呈现的和弦窗口，系统自动发出该和弦的钢琴乐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具有≥24种国际通用调式的主和弦快捷显示窗，选择一种调号后，窗口显示当前调式的大调名称和关系小调名称，并在和弦快捷显示窗显示当前调式的主和弦，可以在当前调号的大调主和弦和关系小调主和弦间任意转换，点击和弦快捷显示窗后，系统发出当前和弦的柱式和弦声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.具有音唱名隐藏系统，可以显隐虚拟键盘上的音名、唱名。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.具有课件导入系统，可导入乐谱课件。乐谱课件在主显示区悬浮呈现，可通过鼠标拖拽并缩放;</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16</w:t>
            </w:r>
            <w:r>
              <w:rPr>
                <w:rFonts w:hint="eastAsia" w:ascii="宋体" w:hAnsi="宋体" w:eastAsia="宋体" w:cs="宋体"/>
                <w:i w:val="0"/>
                <w:iCs w:val="0"/>
                <w:color w:val="auto"/>
                <w:sz w:val="21"/>
                <w:szCs w:val="21"/>
                <w:u w:val="none"/>
                <w:lang w:val="en-US" w:eastAsia="zh-CN" w:bidi="ar"/>
              </w:rPr>
              <w:t xml:space="preserve">.支持电子课件音符的临时修改，可临时修改电子课件中音符的音高;</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17</w:t>
            </w:r>
            <w:r>
              <w:rPr>
                <w:rFonts w:hint="eastAsia" w:ascii="宋体" w:hAnsi="宋体" w:eastAsia="宋体" w:cs="宋体"/>
                <w:i w:val="0"/>
                <w:iCs w:val="0"/>
                <w:color w:val="auto"/>
                <w:sz w:val="21"/>
                <w:szCs w:val="21"/>
                <w:u w:val="none"/>
                <w:lang w:val="en-US" w:eastAsia="zh-CN" w:bidi="ar"/>
              </w:rPr>
              <w:t xml:space="preserve">.可设定电子课件的循环播放点。</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18</w:t>
            </w:r>
            <w:r>
              <w:rPr>
                <w:rFonts w:hint="eastAsia" w:ascii="宋体" w:hAnsi="宋体" w:eastAsia="宋体" w:cs="宋体"/>
                <w:i w:val="0"/>
                <w:iCs w:val="0"/>
                <w:color w:val="auto"/>
                <w:sz w:val="21"/>
                <w:szCs w:val="21"/>
                <w:u w:val="none"/>
                <w:lang w:val="en-US" w:eastAsia="zh-CN" w:bidi="ar"/>
              </w:rPr>
              <w:t xml:space="preserve">.具有独立的节奏节拍控制系统，可以设定节奏类型及拍速;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19</w:t>
            </w:r>
            <w:r>
              <w:rPr>
                <w:rFonts w:hint="eastAsia" w:ascii="宋体" w:hAnsi="宋体" w:eastAsia="宋体" w:cs="宋体"/>
                <w:i w:val="0"/>
                <w:iCs w:val="0"/>
                <w:color w:val="auto"/>
                <w:sz w:val="21"/>
                <w:szCs w:val="21"/>
                <w:u w:val="none"/>
                <w:lang w:val="en-US" w:eastAsia="zh-CN" w:bidi="ar"/>
              </w:rPr>
              <w:t xml:space="preserve">.具有全面屏五线谱白板系统，可以进行全屏五线谱板书书写。</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.内置乐理音基教程，不低于52课的专业五线谱识谱课件。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.内置1000+乐谱教学课件，适用于我国普教、职教、高教各阶段音乐教学课程。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b/>
                <w:bCs/>
                <w:i w:val="0"/>
                <w:iCs w:val="0"/>
                <w:color w:val="auto"/>
                <w:sz w:val="21"/>
                <w:szCs w:val="21"/>
                <w:u w:val="none"/>
                <w:lang w:val="en-US" w:eastAsia="zh-CN" w:bidi="ar"/>
              </w:rPr>
              <w:t xml:space="preserve">2</w:t>
            </w:r>
            <w:r>
              <w:rPr>
                <w:rFonts w:hint="eastAsia" w:ascii="宋体" w:hAnsi="宋体" w:cs="宋体"/>
                <w:b/>
                <w:bCs/>
                <w:i w:val="0"/>
                <w:iCs w:val="0"/>
                <w:color w:val="auto"/>
                <w:sz w:val="21"/>
                <w:szCs w:val="21"/>
                <w:u w:val="none"/>
                <w:lang w:val="en-US" w:eastAsia="zh-CN" w:bidi="ar"/>
              </w:rPr>
              <w:t xml:space="preserve">2</w:t>
            </w:r>
            <w:r>
              <w:rPr>
                <w:rFonts w:hint="eastAsia" w:ascii="宋体" w:hAnsi="宋体" w:eastAsia="宋体" w:cs="宋体"/>
                <w:b/>
                <w:bCs/>
                <w:i w:val="0"/>
                <w:iCs w:val="0"/>
                <w:color w:val="auto"/>
                <w:sz w:val="21"/>
                <w:szCs w:val="21"/>
                <w:u w:val="none"/>
                <w:lang w:val="en-US" w:eastAsia="zh-CN" w:bidi="ar"/>
              </w:rPr>
              <w:t xml:space="preserve">.提供五线谱音乐电教板系统软件著作权</w:t>
            </w:r>
            <w:r>
              <w:rPr>
                <w:rFonts w:hint="eastAsia" w:ascii="宋体" w:hAnsi="宋体" w:eastAsia="宋体" w:cs="宋体"/>
                <w:b/>
                <w:bCs/>
                <w:i w:val="0"/>
                <w:iCs w:val="0"/>
                <w:strike w:val="0"/>
                <w:color w:val="auto"/>
                <w:sz w:val="21"/>
                <w:szCs w:val="21"/>
                <w:u w:val="none"/>
                <w:lang w:val="en-US" w:eastAsia="zh-CN" w:bidi="ar"/>
              </w:rPr>
              <w:t xml:space="preserve">证书</w:t>
            </w:r>
            <w:r>
              <w:rPr>
                <w:rFonts w:hint="eastAsia" w:ascii="宋体" w:hAnsi="宋体" w:cs="宋体"/>
                <w:b/>
                <w:bCs/>
                <w:i w:val="0"/>
                <w:iCs w:val="0"/>
                <w:strike w:val="0"/>
                <w:color w:val="auto"/>
                <w:sz w:val="21"/>
                <w:szCs w:val="21"/>
                <w:u w:val="none"/>
                <w:lang w:val="en-US" w:eastAsia="zh-CN" w:bidi="ar"/>
              </w:rPr>
              <w:t xml:space="preserve">电子</w:t>
            </w:r>
            <w:r>
              <w:rPr>
                <w:rFonts w:hint="eastAsia" w:ascii="宋体" w:hAnsi="宋体" w:eastAsia="宋体" w:cs="宋体"/>
                <w:b/>
                <w:bCs/>
                <w:i w:val="0"/>
                <w:iCs w:val="0"/>
                <w:strike w:val="0"/>
                <w:color w:val="auto"/>
                <w:sz w:val="21"/>
                <w:szCs w:val="21"/>
                <w:u w:val="none"/>
                <w:lang w:val="en-US" w:eastAsia="zh-CN" w:bidi="ar"/>
              </w:rPr>
              <w:t xml:space="preserve">扫描</w:t>
            </w:r>
            <w:r>
              <w:rPr>
                <w:rFonts w:hint="eastAsia" w:ascii="宋体" w:hAnsi="宋体" w:eastAsia="宋体" w:cs="宋体"/>
                <w:b/>
                <w:bCs/>
                <w:i w:val="0"/>
                <w:iCs w:val="0"/>
                <w:color w:val="auto"/>
                <w:sz w:val="21"/>
                <w:szCs w:val="21"/>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r>
      <w:tr>
        <w:trPr>
          <w:trHeight w:val="78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24128" behindDoc="0" locked="0" layoutInCell="1" allowOverlap="1">
                      <wp:simplePos x="0" y="0"/>
                      <wp:positionH relativeFrom="column">
                        <wp:posOffset>0</wp:posOffset>
                      </wp:positionH>
                      <wp:positionV relativeFrom="paragraph">
                        <wp:posOffset>0</wp:posOffset>
                      </wp:positionV>
                      <wp:extent cx="38100" cy="69850"/>
                      <wp:effectExtent l="0" t="0" r="0" b="0"/>
                      <wp:wrapNone/>
                      <wp:docPr id="165" name="图片_1"/>
                      <wp:cNvGraphicFramePr/>
                      <a:graphic xmlns:a="http://schemas.openxmlformats.org/drawingml/2006/main">
                        <a:graphicData uri="http://schemas.openxmlformats.org/drawingml/2006/picture">
                          <pic:pic xmlns:pic="http://schemas.openxmlformats.org/drawingml/2006/picture">
                            <pic:nvPicPr>
                              <pic:cNvPr id="165" name="图片_1"/>
                              <pic:cNvPicPr/>
                              <pic:nvPr/>
                            </pic:nvPicPr>
                            <pic:blipFill>
                              <a:blip r:embed="rId16"/>
                              <a:stretch/>
                            </pic:blipFill>
                            <pic:spPr bwMode="auto">
                              <a:xfrm>
                                <a:off x="0" y="0"/>
                                <a:ext cx="38100" cy="69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1824128;o:allowoverlap:true;o:allowincell:true;mso-position-horizontal-relative:text;margin-left:0.0pt;mso-position-horizontal:absolute;mso-position-vertical-relative:text;margin-top:0.0pt;mso-position-vertical:absolute;width:3.0pt;height:5.5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auto"/>
                <w:sz w:val="21"/>
                <w:szCs w:val="21"/>
                <w:u w:val="none"/>
                <w:lang w:val="en-US" w:eastAsia="zh-CN" w:bidi="ar"/>
              </w:rPr>
              <w:t xml:space="preserve">AN1-38</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储物架</w:t>
            </w:r>
            <w:r/>
          </w:p>
        </w:tc>
        <w:tc>
          <w:tcPr>
            <w:shd w:val="clear" w:color="auto" w:fill="auto"/>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#1.尺寸：（2000*500*2000mm）±5mm；4层；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#2.采用优质冷轧钢板，采用环保材质，无有毒有害物质，钢板厚度：立柱1.5mm，搁板0.8mm，挂板1.8mm，经剪.冲.折专门轧制而成，具有良好的机械特性；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#3.涂层：喷涂层采用优质塑粉，金属喷漆涂层冲击强度应无剥落.裂纹.皱纹，附着力应≥2级，重金属可溶性铅未检出.可溶性镉未检出.可溶性铬未检出.可溶性汞未检出；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#4.层板与立柱之间采用插接式结构，可随意调整每一层板的高度，最小调节量为50mm；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#5.广泛应用于各行各业，适用于零.小部件的存放，每层层板的承载在100KG-150KG以内，货架高度2M以上中间加横梁，最高不超过3M，可根据需求增加侧板与背板.层板隔板；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#6.采用钢层板与万能角钢组合形式，结构轻巧，装配方便。</w:t>
            </w:r>
            <w:r/>
          </w:p>
        </w:tc>
        <w:tc>
          <w:tcPr>
            <w:shd w:val="clear" w:color="auto" w:fill="auto"/>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架</w:t>
            </w:r>
            <w:r/>
          </w:p>
        </w:tc>
      </w:tr>
    </w:tbl>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bl>
      <w:tblPr>
        <w:tblStyle w:val="727"/>
        <w:tblW w:w="1034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6"/>
        <w:gridCol w:w="1316"/>
        <w:gridCol w:w="6615"/>
        <w:gridCol w:w="765"/>
        <w:gridCol w:w="666"/>
      </w:tblGrid>
      <w:tr>
        <w:trPr>
          <w:trHeight w:val="567"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103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AO-心理咨询室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1.心理办公室</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113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AO1-01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规章制度</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#1.心理咨询师的规章制度，及保密原则；整体尺寸：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60cm*90 CM；边框颜色：欧白花纹；边框宽度：不少于30mm；边框材质：实木；前</w:t>
            </w:r>
            <w:r>
              <w:rPr>
                <w:rFonts w:hint="eastAsia" w:ascii="宋体" w:hAnsi="宋体" w:cs="宋体"/>
                <w:i w:val="0"/>
                <w:iCs w:val="0"/>
                <w:color w:val="auto"/>
                <w:sz w:val="21"/>
                <w:szCs w:val="21"/>
                <w:u w:val="none"/>
                <w:lang w:val="en-US" w:eastAsia="zh-CN" w:bidi="ar"/>
              </w:rPr>
              <w:t xml:space="preserve">挡板</w:t>
            </w:r>
            <w:r>
              <w:rPr>
                <w:rFonts w:hint="eastAsia" w:ascii="宋体" w:hAnsi="宋体" w:eastAsia="宋体" w:cs="宋体"/>
                <w:i w:val="0"/>
                <w:iCs w:val="0"/>
                <w:color w:val="auto"/>
                <w:sz w:val="21"/>
                <w:szCs w:val="21"/>
                <w:u w:val="none"/>
                <w:lang w:val="en-US" w:eastAsia="zh-CN" w:bidi="ar"/>
              </w:rPr>
              <w:t xml:space="preserve">：有机玻璃；无痕挂钩： 30*15mm。</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AO1-02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心理挂图1</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#1.不同心理场景的可供选择的心理挂图：分为催眠图、错觉图、深思图、激励图等；整体尺寸：62*52cm；边框颜色：欧白花纹；边框宽度：不少于3cm；边框材质：实木；前</w:t>
            </w:r>
            <w:r>
              <w:rPr>
                <w:rFonts w:hint="eastAsia" w:ascii="宋体" w:hAnsi="宋体" w:cs="宋体"/>
                <w:i w:val="0"/>
                <w:iCs w:val="0"/>
                <w:color w:val="auto"/>
                <w:sz w:val="21"/>
                <w:szCs w:val="21"/>
                <w:u w:val="none"/>
                <w:lang w:val="en-US" w:eastAsia="zh-CN" w:bidi="ar"/>
              </w:rPr>
              <w:t xml:space="preserve">挡板</w:t>
            </w:r>
            <w:r>
              <w:rPr>
                <w:rFonts w:hint="eastAsia" w:ascii="宋体" w:hAnsi="宋体" w:eastAsia="宋体" w:cs="宋体"/>
                <w:i w:val="0"/>
                <w:iCs w:val="0"/>
                <w:color w:val="auto"/>
                <w:sz w:val="21"/>
                <w:szCs w:val="21"/>
                <w:u w:val="none"/>
                <w:lang w:val="en-US" w:eastAsia="zh-CN" w:bidi="ar"/>
              </w:rPr>
              <w:t xml:space="preserve">：有机玻璃；无痕挂钩：</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30*15MM。</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AO1-03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无声挂钟</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#1.形状: 圆形尺寸: ≥ 14英寸；机芯类型: 扫秒机芯；动力类型: 电池。</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AO1-04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#1.两人位沙发*2；尺寸：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115*70*63cm；材质：高级西皮+PU皮；靠背选用3A级公仔棉；站脚：碳素钢。</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AO1-05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办公桌椅</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#1.桌面主要基材使用E1级中纤板；桌子封边:天然木皮封边条;桌子油漆:采用水性环保油漆;桌子尺寸: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120*60*74cm;办公椅符合人体工学设计；3D悬浮腰托，坐垫加厚；</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AO1-06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录音笔</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#1.语音时间≥10小时；信噪比≥90dB；尺寸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97*25*11mm；净重≤70g；</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2.预约等候区</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1345"/>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AO2-01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AI心理数字卡通人</w:t>
            </w:r>
            <w:r/>
          </w:p>
        </w:tc>
        <w:tc>
          <w:tcPr>
            <w:shd w:val="clear" w:color="auto" w:fill="auto"/>
            <w:tcBorders>
              <w:top w:val="single" w:color="000000" w:sz="4" w:space="0"/>
              <w:left w:val="none" w:color="000000" w:sz="4" w:space="0"/>
              <w:bottom w:val="single" w:color="000000" w:sz="4" w:space="0"/>
              <w:right w:val="single" w:color="000000" w:sz="4" w:space="0"/>
            </w:tcBorders>
            <w:tcW w:w="6615" w:type="dxa"/>
            <w:vAlign w:val="top"/>
            <w:textDirection w:val="lrTb"/>
            <w:noWrap w:val="false"/>
          </w:tcPr>
          <w:p>
            <w:pPr>
              <w:numPr>
                <w:ilvl w:val="0"/>
                <w:numId w:val="5"/>
              </w:num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硬件配置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#1.竖屏，尺寸为≥55英寸；</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#2.整体尺寸为高不低于170厘米，宽不小于60厘米；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二、软件部分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#1.心理咨询：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心理咨询模块依托强大的后端架构，能为用户提供实时咨询服务。支持多方面心理问题咨询，提供文字、语音多形式</w:t>
            </w:r>
            <w:r>
              <w:rPr>
                <w:rFonts w:hint="eastAsia" w:ascii="宋体" w:hAnsi="宋体" w:cs="宋体"/>
                <w:i w:val="0"/>
                <w:iCs w:val="0"/>
                <w:color w:val="auto"/>
                <w:sz w:val="21"/>
                <w:szCs w:val="21"/>
                <w:u w:val="none"/>
                <w:lang w:val="en-US" w:eastAsia="zh-CN" w:bidi="ar"/>
              </w:rPr>
              <w:t xml:space="preserve">咨询</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#2.心理测评：</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心理测评模块创新融合人工智能与经典心理学评估体系，通过多维度动态适配技术实现精准心理评估。</w:t>
            </w:r>
            <w:r/>
          </w:p>
          <w:p>
            <w:pPr>
              <w:numPr>
                <w:ilvl w:val="0"/>
                <w:numId w:val="0"/>
              </w:num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#3.冥想放松：</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该模块创新性</w:t>
            </w:r>
            <w:r>
              <w:rPr>
                <w:rFonts w:hint="eastAsia" w:ascii="宋体" w:hAnsi="宋体" w:cs="宋体"/>
                <w:i w:val="0"/>
                <w:iCs w:val="0"/>
                <w:color w:val="auto"/>
                <w:sz w:val="21"/>
                <w:szCs w:val="21"/>
                <w:u w:val="none"/>
                <w:lang w:val="en-US" w:eastAsia="zh-CN" w:bidi="ar"/>
              </w:rPr>
              <w:t xml:space="preserve">地</w:t>
            </w:r>
            <w:r>
              <w:rPr>
                <w:rFonts w:hint="eastAsia" w:ascii="宋体" w:hAnsi="宋体" w:eastAsia="宋体" w:cs="宋体"/>
                <w:i w:val="0"/>
                <w:iCs w:val="0"/>
                <w:color w:val="auto"/>
                <w:sz w:val="21"/>
                <w:szCs w:val="21"/>
                <w:u w:val="none"/>
                <w:lang w:val="en-US" w:eastAsia="zh-CN" w:bidi="ar"/>
              </w:rPr>
              <w:t xml:space="preserve">融合了自然环境沉浸、情绪管理、身体感知、时间场景、艺术融合以及目标导向</w:t>
            </w:r>
            <w:r>
              <w:rPr>
                <w:rFonts w:hint="eastAsia" w:ascii="宋体" w:hAnsi="宋体" w:cs="宋体"/>
                <w:i w:val="0"/>
                <w:iCs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主题</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帮助用户缓解压力；</w:t>
            </w:r>
            <w:r/>
          </w:p>
          <w:p>
            <w:pPr>
              <w:numPr>
                <w:ilvl w:val="0"/>
                <w:numId w:val="0"/>
              </w:num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Style w:val="974"/>
                <w:rFonts w:hint="eastAsia" w:ascii="宋体" w:hAnsi="宋体" w:eastAsia="宋体" w:cs="宋体"/>
                <w:color w:val="auto"/>
                <w:sz w:val="21"/>
                <w:szCs w:val="21"/>
                <w:lang w:val="en-US" w:eastAsia="zh-CN" w:bidi="ar"/>
              </w:rPr>
              <w:t xml:space="preserve">#4.心理知识：</w:t>
            </w:r>
            <w:r>
              <w:rPr>
                <w:rStyle w:val="974"/>
                <w:rFonts w:hint="eastAsia" w:ascii="宋体" w:hAnsi="宋体" w:eastAsia="宋体" w:cs="宋体"/>
                <w:color w:val="auto"/>
                <w:sz w:val="21"/>
                <w:szCs w:val="21"/>
                <w:lang w:val="en-US" w:eastAsia="zh-CN" w:bidi="ar"/>
              </w:rPr>
              <w:br/>
            </w:r>
            <w:r>
              <w:rPr>
                <w:rStyle w:val="974"/>
                <w:rFonts w:hint="eastAsia" w:ascii="宋体" w:hAnsi="宋体" w:eastAsia="宋体" w:cs="宋体"/>
                <w:color w:val="auto"/>
                <w:sz w:val="21"/>
                <w:szCs w:val="21"/>
                <w:lang w:val="en-US" w:eastAsia="zh-CN" w:bidi="ar"/>
              </w:rPr>
              <w:t xml:space="preserve">心理知识模块结合生活场景输出实用心理策略，帮助用户建立基础认知框架，提升自我觉察与问题解决能力</w:t>
            </w:r>
            <w:r>
              <w:rPr>
                <w:rStyle w:val="974"/>
                <w:rFonts w:hint="eastAsia" w:ascii="宋体" w:hAnsi="宋体" w:cs="宋体"/>
                <w:color w:val="auto"/>
                <w:sz w:val="21"/>
                <w:szCs w:val="21"/>
                <w:lang w:val="en-US" w:eastAsia="zh-CN" w:bidi="ar"/>
              </w:rPr>
              <w:t xml:space="preserve">；</w:t>
            </w:r>
            <w:r>
              <w:rPr>
                <w:rStyle w:val="974"/>
                <w:rFonts w:hint="eastAsia" w:ascii="宋体" w:hAnsi="宋体" w:eastAsia="宋体" w:cs="宋体"/>
                <w:color w:val="auto"/>
                <w:sz w:val="21"/>
                <w:szCs w:val="21"/>
                <w:lang w:val="en-US" w:eastAsia="zh-CN" w:bidi="ar"/>
              </w:rPr>
              <w:br/>
            </w:r>
            <w:r>
              <w:rPr>
                <w:rStyle w:val="974"/>
                <w:rFonts w:hint="eastAsia" w:ascii="宋体" w:hAnsi="宋体" w:eastAsia="宋体" w:cs="宋体"/>
                <w:color w:val="auto"/>
                <w:sz w:val="21"/>
                <w:szCs w:val="21"/>
                <w:lang w:val="en-US" w:eastAsia="zh-CN" w:bidi="ar"/>
              </w:rPr>
              <w:t xml:space="preserve">#5.心理视频：</w:t>
            </w:r>
            <w:r>
              <w:rPr>
                <w:rStyle w:val="974"/>
                <w:rFonts w:hint="eastAsia" w:ascii="宋体" w:hAnsi="宋体" w:eastAsia="宋体" w:cs="宋体"/>
                <w:color w:val="auto"/>
                <w:sz w:val="21"/>
                <w:szCs w:val="21"/>
                <w:lang w:val="en-US" w:eastAsia="zh-CN" w:bidi="ar"/>
              </w:rPr>
              <w:br/>
            </w:r>
            <w:r>
              <w:rPr>
                <w:rStyle w:val="974"/>
                <w:rFonts w:hint="eastAsia" w:ascii="宋体" w:hAnsi="宋体" w:eastAsia="宋体" w:cs="宋体"/>
                <w:color w:val="auto"/>
                <w:sz w:val="21"/>
                <w:szCs w:val="21"/>
                <w:lang w:val="en-US" w:eastAsia="zh-CN" w:bidi="ar"/>
              </w:rPr>
              <w:t xml:space="preserve">高效普及心理知识，以直观、生动的形式将抽象的心理知识转化为形象的视觉内容</w:t>
            </w:r>
            <w:r>
              <w:rPr>
                <w:rStyle w:val="974"/>
                <w:rFonts w:hint="eastAsia" w:ascii="宋体" w:hAnsi="宋体" w:cs="宋体"/>
                <w:color w:val="auto"/>
                <w:sz w:val="21"/>
                <w:szCs w:val="21"/>
                <w:lang w:val="en-US" w:eastAsia="zh-CN" w:bidi="ar"/>
              </w:rPr>
              <w:t xml:space="preserve">，</w:t>
            </w:r>
            <w:r>
              <w:rPr>
                <w:rStyle w:val="974"/>
                <w:rFonts w:hint="eastAsia" w:ascii="宋体" w:hAnsi="宋体" w:eastAsia="宋体" w:cs="宋体"/>
                <w:strike w:val="0"/>
                <w:color w:val="auto"/>
                <w:sz w:val="21"/>
                <w:szCs w:val="21"/>
                <w:lang w:val="en-US" w:eastAsia="zh-CN" w:bidi="ar"/>
              </w:rPr>
              <w:t xml:space="preserve">提高心理健康知识的传播效率和覆盖面</w:t>
            </w:r>
            <w:r>
              <w:rPr>
                <w:rStyle w:val="974"/>
                <w:rFonts w:hint="eastAsia" w:ascii="宋体" w:hAnsi="宋体" w:cs="宋体"/>
                <w:strike w:val="0"/>
                <w:color w:val="auto"/>
                <w:sz w:val="21"/>
                <w:szCs w:val="21"/>
                <w:lang w:val="en-US" w:eastAsia="zh-CN" w:bidi="ar"/>
              </w:rPr>
              <w:t xml:space="preserve">；</w:t>
            </w:r>
            <w:r>
              <w:rPr>
                <w:rStyle w:val="974"/>
                <w:rFonts w:hint="eastAsia" w:ascii="宋体" w:hAnsi="宋体" w:eastAsia="宋体" w:cs="宋体"/>
                <w:strike w:val="0"/>
                <w:color w:val="auto"/>
                <w:sz w:val="21"/>
                <w:szCs w:val="21"/>
                <w:lang w:val="en-US" w:eastAsia="zh-CN" w:bidi="ar"/>
              </w:rPr>
              <w:br/>
            </w:r>
            <w:r>
              <w:rPr>
                <w:rStyle w:val="974"/>
                <w:rFonts w:hint="eastAsia" w:ascii="宋体" w:hAnsi="宋体" w:eastAsia="宋体" w:cs="宋体"/>
                <w:color w:val="auto"/>
                <w:sz w:val="21"/>
                <w:szCs w:val="21"/>
                <w:lang w:val="en-US" w:eastAsia="zh-CN" w:bidi="ar"/>
              </w:rPr>
              <w:t xml:space="preserve">#6.行为训练：</w:t>
            </w:r>
            <w:r>
              <w:rPr>
                <w:rStyle w:val="974"/>
                <w:rFonts w:hint="eastAsia" w:ascii="宋体" w:hAnsi="宋体" w:eastAsia="宋体" w:cs="宋体"/>
                <w:color w:val="auto"/>
                <w:sz w:val="21"/>
                <w:szCs w:val="21"/>
                <w:lang w:val="en-US" w:eastAsia="zh-CN" w:bidi="ar"/>
              </w:rPr>
              <w:br/>
            </w:r>
            <w:r>
              <w:rPr>
                <w:rStyle w:val="974"/>
                <w:rFonts w:hint="eastAsia" w:ascii="宋体" w:hAnsi="宋体" w:eastAsia="宋体" w:cs="宋体"/>
                <w:color w:val="auto"/>
                <w:sz w:val="21"/>
                <w:szCs w:val="21"/>
                <w:lang w:val="en-US" w:eastAsia="zh-CN" w:bidi="ar"/>
              </w:rPr>
              <w:t xml:space="preserve">行为训练能有效提升学生的视觉注意力与集中能力，提高学习效率，提升综合素养。</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868"/>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AO2-02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箱庭设备及管理软件</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numPr>
                <w:ilvl w:val="0"/>
                <w:numId w:val="6"/>
              </w:num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产品介绍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#1.箱庭设备，通过自由的沙具摆放，帮助心理咨询师深入了解来访者的内心世界。本产品配备了箱庭管理软件，帮助心理咨询师记录箱庭疗法过程；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二、设备参数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#1.沙具架：沙具陈列架两个，材质为松木原木。尺寸：宽120cm×高160 cm×深35cm，6层11阶设计，木本色，清漆涂层；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#2.沙箱：标准个体沙箱一个，材质为松木原木；尺寸：57*72*7cm；颜色为外侧原木本色，内侧为天蓝色；</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#3.沙箱腿：整体为整条方木原木制作结构，材质为松木原木制作。高度70－100cm正好适合于手放置沙具的位置；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#4.沙具：1200个，沙具为树脂、陶瓷、聚氨酯材料制造。包含人物类、交通工具类、动物类、植物类、食品类、家居类、家禽类、宗教类等18大类别；</w:t>
            </w:r>
            <w:r/>
          </w:p>
          <w:p>
            <w:pPr>
              <w:numPr>
                <w:ilvl w:val="0"/>
                <w:numId w:val="0"/>
              </w:num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#5.海沙：15公斤，天然黄色细沙、细腻、高温消毒，手握可以带来极柔软感；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#6.箱庭活动记录本、《箱庭疗法》；操作手册各一本；箱庭活动记录本、分别为个体箱庭制作过程记录表（6份）、团体箱庭制作（2份 共8张）过程记录表；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三、箱庭管理软件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#1.软件涵盖沙具管理、个体箱庭、团体箱庭、技术文库、用户管理</w:t>
            </w:r>
            <w:r>
              <w:rPr>
                <w:rFonts w:hint="eastAsia" w:ascii="宋体" w:hAnsi="宋体" w:cs="宋体"/>
                <w:i w:val="0"/>
                <w:iCs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模块。可对个人箱庭、团体箱庭操作过程分别记录；</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用户管理用户账号管理：管理员可以对注册用户的用户名、性别、年龄等信息进行编辑、统一管理，不同的角色具有软件使用的不同权限。支持按照用户名、注册时间筛选数据，查询用户信息。账号信息修改。管理员可以对用户进行添加，也可对来访者进行转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#3.个体箱庭管理模块内包含了查看详细信息和添加箱庭记录的功能。</w:t>
            </w:r>
            <w:r/>
          </w:p>
          <w:p>
            <w:pPr>
              <w:numPr>
                <w:ilvl w:val="0"/>
                <w:numId w:val="0"/>
              </w:num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#4.团体箱庭管理模块内包含了查看详细信息和添加箱庭记录的功能。</w:t>
            </w:r>
            <w:r/>
          </w:p>
          <w:p>
            <w:pPr>
              <w:numPr>
                <w:ilvl w:val="0"/>
                <w:numId w:val="0"/>
              </w:num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#5.沙具管理咨询师可以按照自定义类别，添加沙具图片、名称、数量等信息。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#6.技术文库支持按照标题、发布时间筛选数据，查询信息，可以添加、修改技术文库，添加、修改封面图片、标题、类别、内容等数据，也可对文库角色进行类别管理。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AO2-0</w:t>
            </w:r>
            <w:r>
              <w:rPr>
                <w:rFonts w:hint="eastAsia" w:ascii="宋体" w:hAnsi="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#1.材质：密度板或纯木板，厚度不低于1.5cm，上方柜门为对开柜门，需带钢化玻璃；表面工艺：三聚氰胺贴面；颜色：原木色或橡木色；层数：3层，上下</w:t>
            </w:r>
            <w:r>
              <w:rPr>
                <w:rFonts w:hint="eastAsia" w:ascii="宋体" w:hAnsi="宋体" w:cs="宋体"/>
                <w:i w:val="0"/>
                <w:iCs w:val="0"/>
                <w:color w:val="auto"/>
                <w:sz w:val="21"/>
                <w:szCs w:val="21"/>
                <w:u w:val="none"/>
                <w:lang w:val="en-US" w:eastAsia="zh-CN" w:bidi="ar"/>
              </w:rPr>
              <w:t xml:space="preserve">两层</w:t>
            </w:r>
            <w:r>
              <w:rPr>
                <w:rFonts w:hint="eastAsia" w:ascii="宋体" w:hAnsi="宋体" w:eastAsia="宋体" w:cs="宋体"/>
                <w:i w:val="0"/>
                <w:iCs w:val="0"/>
                <w:color w:val="auto"/>
                <w:sz w:val="21"/>
                <w:szCs w:val="21"/>
                <w:u w:val="none"/>
                <w:lang w:val="en-US" w:eastAsia="zh-CN" w:bidi="ar"/>
              </w:rPr>
              <w:t xml:space="preserve">为柜子，中间为抽屉，所有柜子需带把手；尺寸：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180*40*140cm。</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AO2-0</w:t>
            </w:r>
            <w:r>
              <w:rPr>
                <w:rFonts w:hint="eastAsia" w:ascii="宋体" w:hAnsi="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组合沙发</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#1.两人位沙发*2；尺寸：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20</w:t>
            </w:r>
            <w:r>
              <w:rPr>
                <w:rFonts w:hint="eastAsia" w:ascii="宋体" w:hAnsi="宋体" w:eastAsia="宋体" w:cs="宋体"/>
                <w:i w:val="0"/>
                <w:iCs w:val="0"/>
                <w:color w:val="auto"/>
                <w:sz w:val="21"/>
                <w:szCs w:val="21"/>
                <w:u w:val="none"/>
                <w:lang w:val="en-US" w:eastAsia="zh-CN" w:bidi="ar"/>
              </w:rPr>
              <w:t xml:space="preserve">*70*6</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cm；材质：高级西皮+PU皮；靠背选用3A级公仔棉；站脚：碳素钢。</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3.心理自助空间</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2825"/>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AO3-01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心理自助系统</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一、产品介绍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#1.心理自助系统采用B/S架构设计，集训练、测试，放松，知识介绍于一体。系统包含中心介绍、中心活动、心理音乐、心理视频、心理知识、放松训练、心理测量、行为训练</w:t>
            </w:r>
            <w:r>
              <w:rPr>
                <w:rFonts w:hint="eastAsia" w:ascii="宋体" w:hAnsi="宋体" w:cs="宋体"/>
                <w:i w:val="0"/>
                <w:iCs w:val="0"/>
                <w:strike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模块</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二、产品硬件：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#1.≥32英寸防爆触摸屏，具有高透明度，高透光率等特点</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#2.可承受超过60000000次以上的单点触摸</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#3.触摸屏表面汽车烤漆，防磁、防静电、内置风扇、功放</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#4.音响采用双声道，立体声环绕功放系统，功率：2x2W频响：20Hz~20KHz;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#5.网络接口为RJ45或RJ11;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#6.工业abs材质外壳，正前方整体外观为长椭圆形的合拢式设计。触摸屏到地面的高度不少于700mm，长度不少于725mm，宽度不少于43</w:t>
            </w:r>
            <w:r>
              <w:rPr>
                <w:rFonts w:hint="eastAsia" w:ascii="宋体" w:hAnsi="宋体" w:cs="宋体"/>
                <w:i w:val="0"/>
                <w:iCs w:val="0"/>
                <w:color w:val="auto"/>
                <w:sz w:val="21"/>
                <w:szCs w:val="21"/>
                <w:highlight w:val="none"/>
                <w:u w:val="none"/>
                <w:lang w:val="en-US" w:eastAsia="zh-CN" w:bidi="ar"/>
              </w:rPr>
              <w:t xml:space="preserve">0</w:t>
            </w:r>
            <w:r>
              <w:rPr>
                <w:rFonts w:hint="eastAsia" w:ascii="宋体" w:hAnsi="宋体" w:eastAsia="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#7.展示平台遵循人性化设计，触摸屏可以仰角、俯角调节，也可以左右移动，不同身高的人群使用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#8.两侧装有扶手，并采用环绕式设计，可各种方位移动设备。扶手总长度不少于1100mm，宽度不少于10mm。底部装有塑胶万向轮</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三、软件部分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#1.系统架构：系统采用B/S架构。采用浏览器+应用服务器+数据库的多架构运行模式，能够兼容在不同的操作系统上运行，支持庞大用户量和数据量。客户端无需安装，以IE 等浏览器为操作界面，并兼容SOGOU、360、Firefox浏览器等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#2.数据库：适合大容量数据的应用，并具备开发的灵活性、可扩展性、可用存储过程、函数等方面强大功能。数据库具有伸缩性，可跨越多平台使用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四、系统功能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内容包括：</w:t>
            </w:r>
            <w:r>
              <w:rPr>
                <w:rFonts w:hint="eastAsia" w:ascii="宋体" w:hAnsi="宋体" w:eastAsia="宋体" w:cs="宋体"/>
                <w:i w:val="0"/>
                <w:iCs w:val="0"/>
                <w:color w:val="auto"/>
                <w:sz w:val="21"/>
                <w:szCs w:val="21"/>
                <w:highlight w:val="none"/>
                <w:u w:val="none"/>
                <w:lang w:val="en-US" w:eastAsia="zh-CN" w:bidi="ar"/>
              </w:rPr>
              <w:t xml:space="preserve">中心介绍</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中心活动展示</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心理音乐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心理视频</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心理知识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放松训练</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心理测量</w:t>
            </w:r>
            <w:r>
              <w:rPr>
                <w:rFonts w:hint="eastAsia" w:ascii="宋体" w:hAnsi="宋体" w:cs="宋体"/>
                <w:i w:val="0"/>
                <w:iCs w:val="0"/>
                <w:strike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系统内包含心理健康、情绪、学习、人格、社交、生活、职业兴趣测评等</w:t>
            </w:r>
            <w:r>
              <w:rPr>
                <w:rFonts w:hint="eastAsia" w:ascii="宋体" w:hAnsi="宋体" w:cs="宋体"/>
                <w:i w:val="0"/>
                <w:iCs w:val="0"/>
                <w:color w:val="auto"/>
                <w:sz w:val="21"/>
                <w:szCs w:val="21"/>
                <w:highlight w:val="none"/>
                <w:u w:val="none"/>
                <w:lang w:val="en-US" w:eastAsia="zh-CN" w:bidi="ar"/>
              </w:rPr>
              <w:t xml:space="preserve">多</w:t>
            </w:r>
            <w:r>
              <w:rPr>
                <w:rFonts w:hint="eastAsia" w:ascii="宋体" w:hAnsi="宋体" w:eastAsia="宋体" w:cs="宋体"/>
                <w:i w:val="0"/>
                <w:iCs w:val="0"/>
                <w:color w:val="auto"/>
                <w:sz w:val="21"/>
                <w:szCs w:val="21"/>
                <w:highlight w:val="none"/>
                <w:u w:val="none"/>
                <w:lang w:val="en-US" w:eastAsia="zh-CN" w:bidi="ar"/>
              </w:rPr>
              <w:t xml:space="preserve">种专业心理量表可以多维度评估心理状态水平。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.自助式的行为训练</w:t>
            </w:r>
            <w:r>
              <w:rPr>
                <w:rFonts w:hint="eastAsia" w:ascii="宋体" w:hAnsi="宋体" w:eastAsia="宋体" w:cs="宋体"/>
                <w:i w:val="0"/>
                <w:iCs w:val="0"/>
                <w:strike w:val="0"/>
                <w:color w:val="auto"/>
                <w:sz w:val="21"/>
                <w:szCs w:val="21"/>
                <w:highlight w:val="none"/>
                <w:u w:val="none"/>
                <w:lang w:val="en-US" w:eastAsia="zh-CN" w:bidi="ar"/>
              </w:rPr>
              <w:t xml:space="preserve">旨在通过具有专业性且针对性强的训练，让使用者在注意力、记忆力、思维等能力的水平上得到强化和提高</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.系统后台分为权限管理、量表信息管理、测试数据管理、系统资源管理</w:t>
            </w:r>
            <w:r>
              <w:rPr>
                <w:rFonts w:hint="eastAsia" w:ascii="宋体" w:hAnsi="宋体" w:cs="宋体"/>
                <w:i w:val="0"/>
                <w:iCs w:val="0"/>
                <w:color w:val="auto"/>
                <w:sz w:val="21"/>
                <w:szCs w:val="21"/>
                <w:highlight w:val="none"/>
                <w:u w:val="none"/>
                <w:lang w:val="en-US" w:eastAsia="zh-CN" w:bidi="ar"/>
              </w:rPr>
              <w:t xml:space="preserve">等多</w:t>
            </w:r>
            <w:r>
              <w:rPr>
                <w:rFonts w:hint="eastAsia" w:ascii="宋体" w:hAnsi="宋体" w:eastAsia="宋体" w:cs="宋体"/>
                <w:i w:val="0"/>
                <w:iCs w:val="0"/>
                <w:color w:val="auto"/>
                <w:sz w:val="21"/>
                <w:szCs w:val="21"/>
                <w:highlight w:val="none"/>
                <w:u w:val="none"/>
                <w:lang w:val="en-US" w:eastAsia="zh-CN" w:bidi="ar"/>
              </w:rPr>
              <w:t xml:space="preserve">个模块</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内置多角色层级用户，管理员可以添加角色分类并配置权限，以满足不同类别的用户群体的需求</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用户</w:t>
            </w:r>
            <w:r>
              <w:rPr>
                <w:rFonts w:hint="eastAsia" w:ascii="宋体" w:hAnsi="宋体" w:cs="宋体"/>
                <w:i w:val="0"/>
                <w:iCs w:val="0"/>
                <w:color w:val="auto"/>
                <w:sz w:val="21"/>
                <w:szCs w:val="21"/>
                <w:highlight w:val="none"/>
                <w:u w:val="none"/>
                <w:lang w:val="en-US" w:eastAsia="zh-CN" w:bidi="ar"/>
              </w:rPr>
              <w:t xml:space="preserve">管理员</w:t>
            </w:r>
            <w:r>
              <w:rPr>
                <w:rFonts w:hint="eastAsia" w:ascii="宋体" w:hAnsi="宋体" w:eastAsia="宋体" w:cs="宋体"/>
                <w:i w:val="0"/>
                <w:iCs w:val="0"/>
                <w:color w:val="auto"/>
                <w:sz w:val="21"/>
                <w:szCs w:val="21"/>
                <w:highlight w:val="none"/>
                <w:u w:val="none"/>
                <w:lang w:val="en-US" w:eastAsia="zh-CN" w:bidi="ar"/>
              </w:rPr>
              <w:t xml:space="preserve">可以对注册用户的用户名、年龄、性别、邮箱等信息进行编辑、统一管理。支持对测试数据，批量导出Excel和Word</w:t>
            </w:r>
            <w:r>
              <w:rPr>
                <w:rFonts w:hint="eastAsia" w:ascii="宋体" w:hAnsi="宋体" w:cs="宋体"/>
                <w:i w:val="0"/>
                <w:iCs w:val="0"/>
                <w:color w:val="auto"/>
                <w:sz w:val="21"/>
                <w:szCs w:val="21"/>
                <w:highlight w:val="none"/>
                <w:u w:val="none"/>
                <w:lang w:val="en-US" w:eastAsia="zh-CN" w:bidi="ar"/>
              </w:rPr>
              <w:t xml:space="preserve">等多</w:t>
            </w:r>
            <w:r>
              <w:rPr>
                <w:rFonts w:hint="eastAsia" w:ascii="宋体" w:hAnsi="宋体" w:eastAsia="宋体" w:cs="宋体"/>
                <w:i w:val="0"/>
                <w:iCs w:val="0"/>
                <w:color w:val="auto"/>
                <w:sz w:val="21"/>
                <w:szCs w:val="21"/>
                <w:highlight w:val="none"/>
                <w:u w:val="none"/>
                <w:lang w:val="en-US" w:eastAsia="zh-CN" w:bidi="ar"/>
              </w:rPr>
              <w:t xml:space="preserve">种不同格式；管理员可查看用户测试报告，测试报告涵盖测试用户的个人信息，测试数据等。系统资源管理管理员可上传图片，支持对本单位信息，进行编辑。中心活动管理员可根据本单位开展的心理活动，对活动图片和内容，进行添加管理员可上传</w:t>
            </w:r>
            <w:r>
              <w:rPr>
                <w:rFonts w:hint="eastAsia" w:ascii="宋体" w:hAnsi="宋体" w:cs="宋体"/>
                <w:i w:val="0"/>
                <w:iCs w:val="0"/>
                <w:color w:val="auto"/>
                <w:sz w:val="21"/>
                <w:szCs w:val="21"/>
                <w:highlight w:val="none"/>
                <w:u w:val="none"/>
                <w:lang w:val="en-US" w:eastAsia="zh-CN" w:bidi="ar"/>
              </w:rPr>
              <w:t xml:space="preserve">多种</w:t>
            </w:r>
            <w:r>
              <w:rPr>
                <w:rFonts w:hint="eastAsia" w:ascii="宋体" w:hAnsi="宋体" w:eastAsia="宋体" w:cs="宋体"/>
                <w:i w:val="0"/>
                <w:iCs w:val="0"/>
                <w:color w:val="auto"/>
                <w:sz w:val="21"/>
                <w:szCs w:val="21"/>
                <w:highlight w:val="none"/>
                <w:u w:val="none"/>
                <w:lang w:val="en-US" w:eastAsia="zh-CN" w:bidi="ar"/>
              </w:rPr>
              <w:t xml:space="preserve">心理音乐资源。管理员可上传心理视频资源。管理员可上传</w:t>
            </w:r>
            <w:r>
              <w:rPr>
                <w:rFonts w:hint="eastAsia" w:ascii="宋体" w:hAnsi="宋体" w:cs="宋体"/>
                <w:i w:val="0"/>
                <w:iCs w:val="0"/>
                <w:color w:val="auto"/>
                <w:sz w:val="21"/>
                <w:szCs w:val="21"/>
                <w:highlight w:val="none"/>
                <w:u w:val="none"/>
                <w:lang w:val="en-US" w:eastAsia="zh-CN" w:bidi="ar"/>
              </w:rPr>
              <w:t xml:space="preserve">多种</w:t>
            </w:r>
            <w:r>
              <w:rPr>
                <w:rFonts w:hint="eastAsia" w:ascii="宋体" w:hAnsi="宋体" w:eastAsia="宋体" w:cs="宋体"/>
                <w:i w:val="0"/>
                <w:iCs w:val="0"/>
                <w:color w:val="auto"/>
                <w:sz w:val="21"/>
                <w:szCs w:val="21"/>
                <w:highlight w:val="none"/>
                <w:u w:val="none"/>
                <w:lang w:val="en-US" w:eastAsia="zh-CN" w:bidi="ar"/>
              </w:rPr>
              <w:t xml:space="preserve">心理知识文章资源。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Style w:val="976"/>
                <w:rFonts w:hint="eastAsia" w:ascii="宋体" w:hAnsi="宋体" w:eastAsia="宋体" w:cs="宋体"/>
                <w:color w:val="auto"/>
                <w:sz w:val="21"/>
                <w:szCs w:val="21"/>
                <w:highlight w:val="none"/>
                <w:lang w:val="en-US" w:eastAsia="zh-CN" w:bidi="ar"/>
              </w:rPr>
              <w:t xml:space="preserve">提供产品软件著作权登记证书</w:t>
            </w:r>
            <w:r>
              <w:rPr>
                <w:rStyle w:val="976"/>
                <w:rFonts w:hint="eastAsia" w:ascii="宋体" w:hAnsi="宋体" w:cs="宋体"/>
                <w:color w:val="auto"/>
                <w:sz w:val="21"/>
                <w:szCs w:val="21"/>
                <w:highlight w:val="none"/>
                <w:lang w:val="en-US" w:eastAsia="zh-CN" w:bidi="ar"/>
              </w:rPr>
              <w:t xml:space="preserve">电子扫描件</w:t>
            </w:r>
            <w:r>
              <w:rPr>
                <w:rStyle w:val="976"/>
                <w:rFonts w:hint="eastAsia" w:ascii="宋体" w:hAnsi="宋体" w:eastAsia="宋体" w:cs="宋体"/>
                <w:color w:val="auto"/>
                <w:sz w:val="21"/>
                <w:szCs w:val="21"/>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4178"/>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AO3-02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智能3D电子沙盘系统（专业版）</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numPr>
                <w:ilvl w:val="0"/>
                <w:numId w:val="7"/>
              </w:numPr>
              <w:jc w:val="left"/>
              <w:keepLines w:val="0"/>
              <w:keepNext w:val="0"/>
              <w:pageBreakBefore w:val="0"/>
              <w:spacing w:afterAutospacing="0"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软件介绍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#1.3d心理电子沙盘以模拟现实的三维呈现效果，将沙具以电子的方式展现在使用者面前；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二、产品硬件配置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#1.3D电子沙盘主体采用可升降、可移动的结构设计。机身配置上升、下降、开关机不锈钢按钮，可以根据不同人群使用，自主调节高度。同时也可以使用遥控器，远程控制电子沙盘的上升与下降</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#2.机器内嵌不小于42英寸红外防爆触摸屏，具有高透明度，高强度，高透光率等特点。可承受超过60 000 000次以上的单点触摸，高灵敏度，不延迟</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#3.电子沙盘整体尺寸为，长不</w:t>
            </w:r>
            <w:r>
              <w:rPr>
                <w:rFonts w:hint="eastAsia" w:ascii="宋体" w:hAnsi="宋体" w:cs="宋体"/>
                <w:i w:val="0"/>
                <w:iCs w:val="0"/>
                <w:color w:val="auto"/>
                <w:sz w:val="21"/>
                <w:szCs w:val="21"/>
                <w:u w:val="none"/>
                <w:lang w:val="en-US" w:eastAsia="zh-CN" w:bidi="ar"/>
              </w:rPr>
              <w:t xml:space="preserve">小于</w:t>
            </w:r>
            <w:r>
              <w:rPr>
                <w:rFonts w:hint="eastAsia" w:ascii="宋体" w:hAnsi="宋体" w:eastAsia="宋体" w:cs="宋体"/>
                <w:i w:val="0"/>
                <w:iCs w:val="0"/>
                <w:color w:val="auto"/>
                <w:sz w:val="21"/>
                <w:szCs w:val="21"/>
                <w:u w:val="none"/>
                <w:lang w:val="en-US" w:eastAsia="zh-CN" w:bidi="ar"/>
              </w:rPr>
              <w:t xml:space="preserve">为110cm</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宽不</w:t>
            </w:r>
            <w:r>
              <w:rPr>
                <w:rFonts w:hint="eastAsia" w:ascii="宋体" w:hAnsi="宋体" w:cs="宋体"/>
                <w:i w:val="0"/>
                <w:iCs w:val="0"/>
                <w:color w:val="auto"/>
                <w:sz w:val="21"/>
                <w:szCs w:val="21"/>
                <w:u w:val="none"/>
                <w:lang w:val="en-US" w:eastAsia="zh-CN" w:bidi="ar"/>
              </w:rPr>
              <w:t xml:space="preserve">小于</w:t>
            </w:r>
            <w:r>
              <w:rPr>
                <w:rFonts w:hint="eastAsia" w:ascii="宋体" w:hAnsi="宋体" w:eastAsia="宋体" w:cs="宋体"/>
                <w:i w:val="0"/>
                <w:iCs w:val="0"/>
                <w:color w:val="auto"/>
                <w:sz w:val="21"/>
                <w:szCs w:val="21"/>
                <w:u w:val="none"/>
                <w:lang w:val="en-US" w:eastAsia="zh-CN" w:bidi="ar"/>
              </w:rPr>
              <w:t xml:space="preserve">72cm</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高最低可以降至72cm</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最高可以升高至100cm。底座安装耐磨胶轮，方便移动</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#4.电子沙盘四边边角为梯形设计，避免锋利边缘，个性化设计的同时兼具防碰撞保护作用</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#5.冷轧钢制柜体，表面进口金属烤漆，采用安全环保烤漆工艺，防磁、防静电</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#6.钣金工艺，硬度高，具有良好的抗腐蚀性和抗氧化性，耐磨、防潮、防变形，使用期限长。</w:t>
            </w:r>
            <w:r/>
          </w:p>
          <w:p>
            <w:pPr>
              <w:numPr>
                <w:ilvl w:val="0"/>
                <w:numId w:val="0"/>
              </w:numPr>
              <w:jc w:val="left"/>
              <w:keepLines w:val="0"/>
              <w:keepNext w:val="0"/>
              <w:pageBreakBefore w:val="0"/>
              <w:spacing w:afterAutospacing="0"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三、3D心理电子沙盘管理系统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#1.用户模块管理员可以对注册用户的用户名、性别、联系电话等信息进行编辑、统一管理。不同的用户具有不同的用户管理权限。支持按照用户名筛选数据，查询用户信息</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账号信息修改</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#2.系统内含</w:t>
            </w:r>
            <w:r>
              <w:rPr>
                <w:rFonts w:hint="eastAsia" w:ascii="宋体" w:hAnsi="宋体" w:cs="宋体"/>
                <w:i w:val="0"/>
                <w:iCs w:val="0"/>
                <w:color w:val="auto"/>
                <w:sz w:val="21"/>
                <w:szCs w:val="21"/>
                <w:u w:val="none"/>
                <w:lang w:val="en-US" w:eastAsia="zh-CN" w:bidi="ar"/>
              </w:rPr>
              <w:t xml:space="preserve">多种</w:t>
            </w:r>
            <w:r>
              <w:rPr>
                <w:rFonts w:hint="eastAsia" w:ascii="宋体" w:hAnsi="宋体" w:eastAsia="宋体" w:cs="宋体"/>
                <w:i w:val="0"/>
                <w:iCs w:val="0"/>
                <w:color w:val="auto"/>
                <w:sz w:val="21"/>
                <w:szCs w:val="21"/>
                <w:u w:val="none"/>
                <w:lang w:val="en-US" w:eastAsia="zh-CN" w:bidi="ar"/>
              </w:rPr>
              <w:t xml:space="preserve">环境可以供用户选择训练，可在沙具摆放过程中身临其境般感受春、夏、秋、冬、下雨天、下雪天等环境变化</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#3.沙具室具备3D数据库，内含原型、动物、交通工具、建筑、人物类等分类</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用户可以直接拖动任一沙具到虚拟沙盘内，并支持可对任一沙具可以进行拖动、旋转、放大缩小。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#4.知识库包含图片知识、文字知识和视频知识</w:t>
            </w:r>
            <w:r>
              <w:rPr>
                <w:rFonts w:hint="eastAsia" w:ascii="宋体" w:hAnsi="宋体" w:cs="宋体"/>
                <w:i w:val="0"/>
                <w:iCs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部分</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数据分析配备沙具移动的文字与视频记录，系统自动出具电子沙盘心理分析报告，提供对异常过程及结果的预警功能，当出现预警时，重点关注用户的心理状态。提供用户信息的录入、保存、批量导入、排序等功能，同时可以查看特定用户的历次沙盘作品分析报告</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.系统设置可对设备音量、视频长度等功能进行个性化调节。</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498"/>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AO3-03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标准版实木心理沙盘</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#1.产品组成：1、个体实木心理沙盘1个：规格长度72cm*宽度57cm*高度7cm，材质为橡木板材，内侧蓝色；</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#2.团体实木心理沙盘1个：规格长度114cm*宽度72cm*高10cm，材质为橡木板材，内侧蓝色；</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#3.沙具1500件：由人物类、宗教类、死亡类、文体类、食物类、家居类、交通类、军事类、建筑类、动物类、植物类、自然物类、名胜古迹类、颜色形状类、符号及钱币类15大类组成</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#4.沙具摆放架4个：高度约160cm*宽度约80cm*深度约30cm；橡木板材，9层设计；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#5.细沙45KG：天然细沙、颗粒光滑、大小均匀、手感好</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#6.沙盘游戏书籍1本、精选原色水洗砂20公斤（颗粒光滑、大小均匀、高温消毒）、沙具选取框：沙具选取框2个+清理刷2个；沙盘游戏管理系统1套；支持与心育平台进行对接学习心理沙盘游戏教学视频</w:t>
            </w:r>
            <w:r>
              <w:rPr>
                <w:rFonts w:hint="eastAsia" w:ascii="宋体" w:hAnsi="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4.宣泄室</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359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AO4-01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智能多维呐喊宣泄系统</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一、硬件参数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#1.宣泄机柜总高1780mm（±50mm），整体颜色天蓝色，材质为ABS，烤漆，防腐蚀、耐磨、防静电</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机柜内嵌≥42寸触摸显示屏，厚度为100mm（±5mm）</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操作控制台，为内嵌式21.5英寸触摸屏，主机配置为≥ 4G内存； ≥500G硬盘，键盘、隐藏式设计，使用时可以抽取使用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二、功能特点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#1.模式选择包含人际关系、学习压力、考试压力</w:t>
            </w:r>
            <w:r>
              <w:rPr>
                <w:rFonts w:hint="eastAsia" w:ascii="宋体" w:hAnsi="宋体" w:cs="宋体"/>
                <w:i w:val="0"/>
                <w:iCs w:val="0"/>
                <w:strike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，系统智能分析使用者的宣泄行为（包括呐喊分贝、持续时长等数值），判断出其情绪宣泄的程度，进而有针对性</w:t>
            </w:r>
            <w:r>
              <w:rPr>
                <w:rFonts w:hint="eastAsia" w:ascii="宋体" w:hAnsi="宋体" w:cs="宋体"/>
                <w:i w:val="0"/>
                <w:iCs w:val="0"/>
                <w:color w:val="auto"/>
                <w:sz w:val="21"/>
                <w:szCs w:val="21"/>
                <w:u w:val="none"/>
                <w:lang w:val="en-US" w:eastAsia="zh-CN" w:bidi="ar"/>
              </w:rPr>
              <w:t xml:space="preserve">地</w:t>
            </w:r>
            <w:r>
              <w:rPr>
                <w:rFonts w:hint="eastAsia" w:ascii="宋体" w:hAnsi="宋体" w:eastAsia="宋体" w:cs="宋体"/>
                <w:i w:val="0"/>
                <w:iCs w:val="0"/>
                <w:color w:val="auto"/>
                <w:sz w:val="21"/>
                <w:szCs w:val="21"/>
                <w:u w:val="none"/>
                <w:lang w:val="en-US" w:eastAsia="zh-CN" w:bidi="ar"/>
              </w:rPr>
              <w:t xml:space="preserve">进行智能化的正向语音引导、激励。使用者在宣泄过程中，可以通过即时的数字展现、图形变化及光影反馈，感受到强烈的视觉效果。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#2.资源共享系统自带专业的放松音乐，包含钢琴音乐、吉他音乐、舒缓减压音乐、轻松音乐、安静音乐、欢乐音乐、温馨音乐、古典音乐不同类型的放松音乐供使用者选择</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系统</w:t>
            </w:r>
            <w:r>
              <w:rPr>
                <w:rFonts w:hint="eastAsia" w:ascii="宋体" w:hAnsi="宋体" w:cs="宋体"/>
                <w:i w:val="0"/>
                <w:iCs w:val="0"/>
                <w:color w:val="auto"/>
                <w:sz w:val="21"/>
                <w:szCs w:val="21"/>
                <w:u w:val="none"/>
                <w:lang w:val="en-US" w:eastAsia="zh-CN" w:bidi="ar"/>
              </w:rPr>
              <w:t xml:space="preserve">具有</w:t>
            </w:r>
            <w:r>
              <w:rPr>
                <w:rFonts w:hint="eastAsia" w:ascii="宋体" w:hAnsi="宋体" w:eastAsia="宋体" w:cs="宋体"/>
                <w:i w:val="0"/>
                <w:iCs w:val="0"/>
                <w:color w:val="auto"/>
                <w:sz w:val="21"/>
                <w:szCs w:val="21"/>
                <w:u w:val="none"/>
                <w:lang w:val="en-US" w:eastAsia="zh-CN" w:bidi="ar"/>
              </w:rPr>
              <w:t xml:space="preserve">腹式呼吸法、基本渐进式肌肉放松法 、意念式呼吸法等真人放松引导视频</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#3.查看报告系统自动生成宣泄报告，管理员可查看、导出所用用户的测试信息，以便对比分析数据</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具有智能评价功能；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#4.用户</w:t>
            </w:r>
            <w:r>
              <w:rPr>
                <w:rFonts w:hint="eastAsia" w:ascii="宋体" w:hAnsi="宋体" w:cs="宋体"/>
                <w:i w:val="0"/>
                <w:iCs w:val="0"/>
                <w:color w:val="auto"/>
                <w:sz w:val="21"/>
                <w:szCs w:val="21"/>
                <w:u w:val="none"/>
                <w:lang w:val="en-US" w:eastAsia="zh-CN" w:bidi="ar"/>
              </w:rPr>
              <w:t xml:space="preserve">管理</w:t>
            </w:r>
            <w:r>
              <w:rPr>
                <w:rFonts w:hint="eastAsia" w:ascii="宋体" w:hAnsi="宋体" w:eastAsia="宋体" w:cs="宋体"/>
                <w:i w:val="0"/>
                <w:iCs w:val="0"/>
                <w:color w:val="auto"/>
                <w:sz w:val="21"/>
                <w:szCs w:val="21"/>
                <w:u w:val="none"/>
                <w:lang w:val="en-US" w:eastAsia="zh-CN" w:bidi="ar"/>
              </w:rPr>
              <w:t xml:space="preserve">员可以对注册用户的用户名、性别、年龄等信息进行编辑、统一管理。支持按照用户名筛选数据，方便查询用户信息；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#5.参数检测可以让训练者自主选择单次/多次功能。系统智能分析使用者的宣泄行为（包括声音分贝、持续时长等数值），判断出其情绪宣泄的程度，根据不同宣泄的程度进行智能化的正向语音引导、激励。</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#6.系统设置可对系统内的组织架构进行保存、新增、删除操作。</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329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AO4-02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智能体感互动减压平台</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一、产品组件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#1.体感减压平台控制端配备≥48寸液晶显示屏；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#2.体感机柜：冷轧钢制柜体、外表面进口汽车烤漆、防磁、防静电</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内嵌不小于48寸显示屏，柜体整体高度不小于180公分，头部横径不小于长118cm，底座不小80cm*37cm*15cm；</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二</w:t>
            </w:r>
            <w:r>
              <w:rPr>
                <w:rFonts w:hint="eastAsia" w:ascii="宋体" w:hAnsi="宋体" w:eastAsia="宋体" w:cs="宋体"/>
                <w:i w:val="0"/>
                <w:iCs w:val="0"/>
                <w:color w:val="auto"/>
                <w:sz w:val="21"/>
                <w:szCs w:val="21"/>
                <w:u w:val="none"/>
                <w:lang w:val="en-US" w:eastAsia="zh-CN" w:bidi="ar"/>
              </w:rPr>
              <w:t xml:space="preserve">、软件管理系统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#1.用户中心管理员可以对注册用户的用户名、性别、年龄等信息进行编辑、统一管理。支持按照用户名筛选数据，方便查询用户信息。管理员可以自如添加不同角色分类</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管理员可以自如添加视频以及视频分类</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管理员可以自如添加音乐以及音乐分类</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#2.训练中心</w:t>
            </w:r>
            <w:r>
              <w:rPr>
                <w:rFonts w:hint="eastAsia" w:ascii="宋体" w:hAnsi="宋体" w:cs="宋体"/>
                <w:i w:val="0"/>
                <w:iCs w:val="0"/>
                <w:color w:val="auto"/>
                <w:sz w:val="21"/>
                <w:szCs w:val="21"/>
                <w:u w:val="none"/>
                <w:lang w:val="en-US" w:eastAsia="zh-CN" w:bidi="ar"/>
              </w:rPr>
              <w:t xml:space="preserve">包括</w:t>
            </w:r>
            <w:r>
              <w:rPr>
                <w:rFonts w:hint="eastAsia" w:ascii="宋体" w:hAnsi="宋体" w:eastAsia="宋体" w:cs="宋体"/>
                <w:i w:val="0"/>
                <w:iCs w:val="0"/>
                <w:color w:val="auto"/>
                <w:sz w:val="21"/>
                <w:szCs w:val="21"/>
                <w:u w:val="none"/>
                <w:lang w:val="en-US" w:eastAsia="zh-CN" w:bidi="ar"/>
              </w:rPr>
              <w:t xml:space="preserve">身心协调训练、身心娱乐训练、脑电训练</w:t>
            </w:r>
            <w:r>
              <w:rPr>
                <w:rFonts w:hint="eastAsia" w:ascii="宋体" w:hAnsi="宋体" w:cs="宋体"/>
                <w:i w:val="0"/>
                <w:iCs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模块</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#3.减压中心包括音乐减压和心理电影</w:t>
            </w:r>
            <w:r>
              <w:rPr>
                <w:rFonts w:hint="eastAsia" w:ascii="宋体" w:hAnsi="宋体" w:cs="宋体"/>
                <w:i w:val="0"/>
                <w:iCs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模块；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#4.数据中心系统支持按照用户名、训练日期进行检索结果，方便数据比对分析。系统可自动对记录数据进行统计分析，报告结果包括训练类型、用户基础信息、测试时间等详情。</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405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AO4-03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宣泄人套装</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宣泄人1个，仿真人形，宣泄主体和固定底座两部分组成。内层为高回弹材料填充，外层高密度环保PU，抗击打，耐变形，具有无反弹无抵触的优点，底座可以充水或充沙。宣泄人高度不小于170cm，外套为三层复合布设计， 弹性好、耐击打。可任选蓝色和红色；</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#2.宣泄人胳膊长度不少于21cm；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#3.底座高度为不少于70cm，直径为不少于55cm，锥形体设计，更稳固；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#4.宣泄人头套2个，分别为不同性别、不同表情。适合针对性</w:t>
            </w:r>
            <w:r>
              <w:rPr>
                <w:rFonts w:hint="eastAsia" w:ascii="宋体" w:hAnsi="宋体" w:cs="宋体"/>
                <w:i w:val="0"/>
                <w:iCs w:val="0"/>
                <w:color w:val="auto"/>
                <w:sz w:val="21"/>
                <w:szCs w:val="21"/>
                <w:u w:val="none"/>
                <w:lang w:val="en-US" w:eastAsia="zh-CN" w:bidi="ar"/>
              </w:rPr>
              <w:t xml:space="preserve">地</w:t>
            </w:r>
            <w:r>
              <w:rPr>
                <w:rFonts w:hint="eastAsia" w:ascii="宋体" w:hAnsi="宋体" w:eastAsia="宋体" w:cs="宋体"/>
                <w:i w:val="0"/>
                <w:iCs w:val="0"/>
                <w:color w:val="auto"/>
                <w:sz w:val="21"/>
                <w:szCs w:val="21"/>
                <w:u w:val="none"/>
                <w:lang w:val="en-US" w:eastAsia="zh-CN" w:bidi="ar"/>
              </w:rPr>
              <w:t xml:space="preserve">进行不同对象宣泄，使得宣泄更有针对性、更加畅快淋漓；</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#5.宣泄棒2根，弹性好，有保护性外套，可以保护使用者双手。绿色环保EVA制作，内置抗击打可达200kg的pvc高弹棒。外用高级潜水服面料制作，无需充气、耐击打、环保。总长不少于65cm ，粗端7cm，细端3.5cm，在抓手处有不少于20cm螺旋防滑纹；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#6.立式宣泄球1套，立式不倒，外层高级仿皮材料，高度可调节；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#7.护手套1副：环保材料制作，能保护发泄者手避免受伤；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#8.宣泄挂图2幅（50*50cm，写真板材质）烘托宣泄氛围，激发宣泄情绪；</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#9.储物凳1个，至少具有绿色、黑色、棕色、红色这4种颜色可供选择，可存放头套及护手套等配套器材；</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5.身心放松室</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AO5-01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心理挂图2</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技术参数同“AO1-02心理挂图1”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幅</w:t>
            </w:r>
            <w:r/>
          </w:p>
        </w:tc>
      </w:tr>
      <w:tr>
        <w:trPr>
          <w:trHeight w:val="1263"/>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AO5-02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身心反馈训练系统</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numPr>
                <w:ilvl w:val="0"/>
                <w:numId w:val="8"/>
              </w:num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配置要求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#1.放松训练椅：</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尺寸约为（展开）：19</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cm *</w:t>
            </w:r>
            <w:r>
              <w:rPr>
                <w:rFonts w:hint="eastAsia" w:ascii="宋体" w:hAnsi="宋体" w:cs="宋体"/>
                <w:i w:val="0"/>
                <w:iCs w:val="0"/>
                <w:color w:val="auto"/>
                <w:sz w:val="21"/>
                <w:szCs w:val="21"/>
                <w:u w:val="none"/>
                <w:lang w:val="en-US" w:eastAsia="zh-CN" w:bidi="ar"/>
              </w:rPr>
              <w:t xml:space="preserve">100</w:t>
            </w:r>
            <w:r>
              <w:rPr>
                <w:rFonts w:hint="eastAsia" w:ascii="宋体" w:hAnsi="宋体" w:eastAsia="宋体" w:cs="宋体"/>
                <w:i w:val="0"/>
                <w:iCs w:val="0"/>
                <w:color w:val="auto"/>
                <w:sz w:val="21"/>
                <w:szCs w:val="21"/>
                <w:u w:val="none"/>
                <w:lang w:val="en-US" w:eastAsia="zh-CN" w:bidi="ar"/>
              </w:rPr>
              <w:t xml:space="preserve">cm*115cm±5mm，扶手采取适合坐姿的圆弧设计，靠背柔软，内置超静音电机，可以伸缩10000次以上无故障，通过手持控制器控制放松椅升降角度。满足训练者躺、仰、坐姿势，角度调节范围：靠背100度-170度，腿部90度-170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#2.液晶背投：≥</w:t>
            </w:r>
            <w:r>
              <w:rPr>
                <w:rFonts w:hint="eastAsia" w:ascii="宋体" w:hAnsi="宋体" w:cs="宋体"/>
                <w:i w:val="0"/>
                <w:iCs w:val="0"/>
                <w:color w:val="auto"/>
                <w:sz w:val="21"/>
                <w:szCs w:val="21"/>
                <w:u w:val="none"/>
                <w:lang w:val="en-US" w:eastAsia="zh-CN" w:bidi="ar"/>
              </w:rPr>
              <w:t xml:space="preserve">42英寸液晶</w:t>
            </w:r>
            <w:r>
              <w:rPr>
                <w:rFonts w:hint="eastAsia" w:ascii="宋体" w:hAnsi="宋体" w:eastAsia="宋体" w:cs="宋体"/>
                <w:i w:val="0"/>
                <w:iCs w:val="0"/>
                <w:color w:val="auto"/>
                <w:sz w:val="21"/>
                <w:szCs w:val="21"/>
                <w:u w:val="none"/>
                <w:lang w:val="en-US" w:eastAsia="zh-CN" w:bidi="ar"/>
              </w:rPr>
              <w:t xml:space="preserve">显示屏 16:9，智能人机交互，数据无线投屏传输，解决了有线传输的不美观问题。无线触压式呼吸采集器：呼吸探头由硅胶材料制作，尺寸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为宽</w:t>
            </w:r>
            <w:r>
              <w:rPr>
                <w:rFonts w:hint="eastAsia" w:ascii="宋体" w:hAnsi="宋体" w:cs="宋体"/>
                <w:i w:val="0"/>
                <w:iCs w:val="0"/>
                <w:color w:val="auto"/>
                <w:sz w:val="21"/>
                <w:szCs w:val="21"/>
                <w:u w:val="none"/>
                <w:lang w:val="en-US" w:eastAsia="zh-CN" w:bidi="ar"/>
              </w:rPr>
              <w:t xml:space="preserve">50</w:t>
            </w:r>
            <w:r>
              <w:rPr>
                <w:rFonts w:hint="eastAsia" w:ascii="宋体" w:hAnsi="宋体" w:eastAsia="宋体" w:cs="宋体"/>
                <w:i w:val="0"/>
                <w:iCs w:val="0"/>
                <w:color w:val="auto"/>
                <w:sz w:val="21"/>
                <w:szCs w:val="21"/>
                <w:u w:val="none"/>
                <w:lang w:val="en-US" w:eastAsia="zh-CN" w:bidi="ar"/>
              </w:rPr>
              <w:t xml:space="preserve">mm、长65mm、厚度1</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mm，采集探头为直径为4</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mm的滴胶设置，探头开关直径</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为1</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#3.可调式呼吸带采用弹性材质制作，整体长度</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为900mm</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调节范围为450</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1600mm，可系于腰腹部，方便、舒适、便于运动。整体呼吸采集器内置感应电路，采集呼吸等相关指数，双层感应结构，采集精度：±3%，采集范围：0-50次/分，响应延迟：≤0.01秒。</w:t>
            </w:r>
            <w:r/>
          </w:p>
          <w:p>
            <w:pPr>
              <w:numPr>
                <w:ilvl w:val="0"/>
                <w:numId w:val="0"/>
              </w:num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#4.脑电波采集器：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智能脑波采集器呈扁圆形，支持不同人群不同头围形状佩戴使用。脑波采集位置：前额（FP1）</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采集点尺寸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为10mm*10 mm圆形不锈钢采集点，采集信号敏锐，不容易掉线。脑波设备可输出原始脑电波数据；数据输出频率为512Hz，配备锂电池不少于500mh容量，前额切削式设计，有三色灯显示，可以显示出不同颜色，分别代表训练状态良好/连接成功、脑波断开连接 、训练效果不佳三种状态；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二、软件要求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#1.系统包含波形训练、场景训练、学习中心、减压放松、数据分析、用户管理，系统设置等模块。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#2.系统内含多场景可以供用户选择训练，每个场景可以根据使用用户的生理指标进行实时画面反馈；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#3.心率通道训练：含有</w:t>
            </w:r>
            <w:r>
              <w:rPr>
                <w:rFonts w:hint="eastAsia" w:ascii="宋体" w:hAnsi="宋体" w:cs="宋体"/>
                <w:i w:val="0"/>
                <w:iCs w:val="0"/>
                <w:color w:val="auto"/>
                <w:sz w:val="21"/>
                <w:szCs w:val="21"/>
                <w:highlight w:val="none"/>
                <w:u w:val="none"/>
                <w:lang w:val="en-US" w:eastAsia="zh-CN" w:bidi="ar"/>
              </w:rPr>
              <w:t xml:space="preserve">多种</w:t>
            </w:r>
            <w:r>
              <w:rPr>
                <w:rFonts w:hint="eastAsia" w:ascii="宋体" w:hAnsi="宋体" w:eastAsia="宋体" w:cs="宋体"/>
                <w:i w:val="0"/>
                <w:iCs w:val="0"/>
                <w:color w:val="auto"/>
                <w:sz w:val="21"/>
                <w:szCs w:val="21"/>
                <w:highlight w:val="none"/>
                <w:u w:val="none"/>
                <w:lang w:val="en-US" w:eastAsia="zh-CN" w:bidi="ar"/>
              </w:rPr>
              <w:t xml:space="preserve">三维场景可供训练者选择，并可以将训练结果进行存储，可以随时调用、阅览；内设有呼吸球功能，训练者可跟随呼吸球的节奏进行调整呼吸，放松训练，使自己能很快</w:t>
            </w:r>
            <w:r>
              <w:rPr>
                <w:rFonts w:hint="eastAsia" w:ascii="宋体" w:hAnsi="宋体" w:cs="宋体"/>
                <w:i w:val="0"/>
                <w:iCs w:val="0"/>
                <w:color w:val="auto"/>
                <w:sz w:val="21"/>
                <w:szCs w:val="21"/>
                <w:highlight w:val="none"/>
                <w:u w:val="none"/>
                <w:lang w:val="en-US" w:eastAsia="zh-CN" w:bidi="ar"/>
              </w:rPr>
              <w:t xml:space="preserve">地</w:t>
            </w:r>
            <w:r>
              <w:rPr>
                <w:rFonts w:hint="eastAsia" w:ascii="宋体" w:hAnsi="宋体" w:eastAsia="宋体" w:cs="宋体"/>
                <w:i w:val="0"/>
                <w:iCs w:val="0"/>
                <w:color w:val="auto"/>
                <w:sz w:val="21"/>
                <w:szCs w:val="21"/>
                <w:highlight w:val="none"/>
                <w:u w:val="none"/>
                <w:lang w:val="en-US" w:eastAsia="zh-CN" w:bidi="ar"/>
              </w:rPr>
              <w:t xml:space="preserve">放松下来。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#4.脑波通道训练：</w:t>
            </w:r>
            <w:r>
              <w:rPr>
                <w:rFonts w:hint="eastAsia" w:ascii="宋体" w:hAnsi="宋体" w:cs="宋体"/>
                <w:i w:val="0"/>
                <w:iCs w:val="0"/>
                <w:color w:val="auto"/>
                <w:sz w:val="21"/>
                <w:szCs w:val="21"/>
                <w:highlight w:val="none"/>
                <w:u w:val="none"/>
                <w:lang w:val="en-US" w:eastAsia="zh-CN" w:bidi="ar"/>
              </w:rPr>
              <w:t xml:space="preserve">多种</w:t>
            </w:r>
            <w:r>
              <w:rPr>
                <w:rFonts w:hint="eastAsia" w:ascii="宋体" w:hAnsi="宋体" w:eastAsia="宋体" w:cs="宋体"/>
                <w:i w:val="0"/>
                <w:iCs w:val="0"/>
                <w:color w:val="auto"/>
                <w:sz w:val="21"/>
                <w:szCs w:val="21"/>
                <w:highlight w:val="none"/>
                <w:u w:val="none"/>
                <w:lang w:val="en-US" w:eastAsia="zh-CN" w:bidi="ar"/>
              </w:rPr>
              <w:t xml:space="preserve">三维场景可供训练者训练，并可以将数据训练结果进行存储，可以随时调用、阅览；</w:t>
            </w:r>
            <w:r>
              <w:rPr>
                <w:rFonts w:hint="eastAsia" w:ascii="宋体" w:hAnsi="宋体" w:eastAsia="宋体" w:cs="宋体"/>
                <w:i w:val="0"/>
                <w:iCs w:val="0"/>
                <w:strike w:val="0"/>
                <w:color w:val="auto"/>
                <w:sz w:val="21"/>
                <w:szCs w:val="21"/>
                <w:highlight w:val="none"/>
                <w:u w:val="none"/>
                <w:lang w:val="en-US" w:eastAsia="zh-CN" w:bidi="ar"/>
              </w:rPr>
              <w:t xml:space="preserve">内设有呼吸球功能，训练者可跟随呼吸球的节奏进行调整呼吸，放松训练，使自己能很快的放松下来</w:t>
            </w:r>
            <w:r>
              <w:rPr>
                <w:rFonts w:hint="eastAsia" w:ascii="宋体" w:hAnsi="宋体" w:eastAsia="宋体" w:cs="宋体"/>
                <w:i w:val="0"/>
                <w:iCs w:val="0"/>
                <w:strike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#5.呼吸通道训练：含</w:t>
            </w:r>
            <w:r>
              <w:rPr>
                <w:rFonts w:hint="eastAsia" w:ascii="宋体" w:hAnsi="宋体" w:cs="宋体"/>
                <w:i w:val="0"/>
                <w:iCs w:val="0"/>
                <w:color w:val="auto"/>
                <w:sz w:val="21"/>
                <w:szCs w:val="21"/>
                <w:highlight w:val="none"/>
                <w:u w:val="none"/>
                <w:lang w:val="en-US" w:eastAsia="zh-CN" w:bidi="ar"/>
              </w:rPr>
              <w:t xml:space="preserve">有多种</w:t>
            </w:r>
            <w:r>
              <w:rPr>
                <w:rFonts w:hint="eastAsia" w:ascii="宋体" w:hAnsi="宋体" w:eastAsia="宋体" w:cs="宋体"/>
                <w:i w:val="0"/>
                <w:iCs w:val="0"/>
                <w:color w:val="auto"/>
                <w:sz w:val="21"/>
                <w:szCs w:val="21"/>
                <w:highlight w:val="none"/>
                <w:u w:val="none"/>
                <w:lang w:val="en-US" w:eastAsia="zh-CN" w:bidi="ar"/>
              </w:rPr>
              <w:t xml:space="preserve">三维场景可供训练者选择，并可以将数据训练结果进行存储，可以随时</w:t>
            </w:r>
            <w:r>
              <w:rPr>
                <w:rFonts w:hint="eastAsia" w:ascii="宋体" w:hAnsi="宋体" w:eastAsia="宋体" w:cs="宋体"/>
                <w:i w:val="0"/>
                <w:iCs w:val="0"/>
                <w:color w:val="auto"/>
                <w:sz w:val="21"/>
                <w:szCs w:val="21"/>
                <w:u w:val="none"/>
                <w:lang w:val="en-US" w:eastAsia="zh-CN" w:bidi="ar"/>
              </w:rPr>
              <w:t xml:space="preserve">调用、阅览。内设有呼吸球功能，训练者可跟随呼吸球的节奏进行调整呼吸，放松训练，使自己能很快</w:t>
            </w:r>
            <w:r>
              <w:rPr>
                <w:rFonts w:hint="eastAsia" w:ascii="宋体" w:hAnsi="宋体" w:cs="宋体"/>
                <w:i w:val="0"/>
                <w:iCs w:val="0"/>
                <w:color w:val="auto"/>
                <w:sz w:val="21"/>
                <w:szCs w:val="21"/>
                <w:u w:val="none"/>
                <w:lang w:val="en-US" w:eastAsia="zh-CN" w:bidi="ar"/>
              </w:rPr>
              <w:t xml:space="preserve">地</w:t>
            </w:r>
            <w:r>
              <w:rPr>
                <w:rFonts w:hint="eastAsia" w:ascii="宋体" w:hAnsi="宋体" w:eastAsia="宋体" w:cs="宋体"/>
                <w:i w:val="0"/>
                <w:iCs w:val="0"/>
                <w:color w:val="auto"/>
                <w:sz w:val="21"/>
                <w:szCs w:val="21"/>
                <w:u w:val="none"/>
                <w:lang w:val="en-US" w:eastAsia="zh-CN" w:bidi="ar"/>
              </w:rPr>
              <w:t xml:space="preserve">放松下来。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w:t>
            </w:r>
            <w:r>
              <w:rPr>
                <w:rStyle w:val="976"/>
                <w:rFonts w:hint="eastAsia" w:ascii="宋体" w:hAnsi="宋体" w:eastAsia="宋体" w:cs="宋体"/>
                <w:color w:val="auto"/>
                <w:sz w:val="21"/>
                <w:szCs w:val="21"/>
                <w:lang w:val="en-US" w:eastAsia="zh-CN" w:bidi="ar"/>
              </w:rPr>
              <w:t xml:space="preserve">提供“系统”软件著作权登记证书</w:t>
            </w:r>
            <w:r>
              <w:rPr>
                <w:rStyle w:val="976"/>
                <w:rFonts w:hint="eastAsia" w:ascii="宋体" w:hAnsi="宋体" w:cs="宋体"/>
                <w:b/>
                <w:bCs/>
                <w:strike w:val="0"/>
                <w:color w:val="auto"/>
                <w:sz w:val="21"/>
                <w:szCs w:val="21"/>
                <w:u w:val="none"/>
                <w:lang w:val="en-US" w:eastAsia="zh-CN" w:bidi="ar"/>
              </w:rPr>
              <w:t xml:space="preserve">电子</w:t>
            </w:r>
            <w:r>
              <w:rPr>
                <w:rStyle w:val="976"/>
                <w:rFonts w:hint="eastAsia" w:ascii="宋体" w:hAnsi="宋体" w:eastAsia="宋体" w:cs="宋体"/>
                <w:b/>
                <w:bCs/>
                <w:strike w:val="0"/>
                <w:color w:val="auto"/>
                <w:sz w:val="21"/>
                <w:szCs w:val="21"/>
                <w:lang w:val="en-US" w:eastAsia="zh-CN" w:bidi="ar"/>
              </w:rPr>
              <w:t xml:space="preserve">扫</w:t>
            </w:r>
            <w:r>
              <w:rPr>
                <w:rStyle w:val="976"/>
                <w:rFonts w:hint="eastAsia" w:ascii="宋体" w:hAnsi="宋体" w:eastAsia="宋体" w:cs="宋体"/>
                <w:color w:val="auto"/>
                <w:sz w:val="21"/>
                <w:szCs w:val="21"/>
                <w:lang w:val="en-US" w:eastAsia="zh-CN" w:bidi="ar"/>
              </w:rPr>
              <w:t xml:space="preserve">描件。</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6.放松咨询室</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AO6-01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咨询茶几</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#1.风格</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现代简约；形状</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圆形；尺寸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 50*50*50cm；实木材质；颜色可根据要求定制</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AO6-02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咨询沙发</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#1.两人位沙发*2；尺寸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：115*70*6</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cm；材质：高级西皮+PU皮；靠背选用3A级公仔棉；站脚：碳素钢。</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699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AO6-03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音乐放松训练系统</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afterAutospacing="0"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软件要求：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.软件安全：采用MD5加密技术，保证数据信息安全；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.系统包含学习中心、治疗中心、音乐中心、记录中心等模块。</w:t>
            </w:r>
            <w:r>
              <w:rPr>
                <w:rStyle w:val="976"/>
                <w:rFonts w:hint="eastAsia" w:ascii="宋体" w:hAnsi="宋体" w:eastAsia="宋体" w:cs="宋体"/>
                <w:color w:val="auto"/>
                <w:sz w:val="21"/>
                <w:szCs w:val="21"/>
                <w:lang w:val="en-US" w:eastAsia="zh-CN" w:bidi="ar"/>
              </w:rPr>
              <w:t xml:space="preserve">（提供软件功能截图）</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功能要求：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#1.学习中心具备自助式放松训练功能，包含意念式呼吸法、腹式呼吸法、基本渐进式肌肉放松法等模式，提供专业真人教学视频</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#2.音乐中心包含专业音乐、α波音乐、纯音乐</w:t>
            </w:r>
            <w:r>
              <w:rPr>
                <w:rFonts w:hint="eastAsia" w:ascii="宋体" w:hAnsi="宋体" w:cs="宋体"/>
                <w:i w:val="0"/>
                <w:iCs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版块，支持自定义添加音乐</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▲3.放松中心包含了放松方案、放松环境、辅助催眠、系统管理、放松情况、使用帮助</w:t>
            </w:r>
            <w:r>
              <w:rPr>
                <w:rFonts w:hint="eastAsia" w:ascii="宋体" w:hAnsi="宋体" w:cs="宋体"/>
                <w:i w:val="0"/>
                <w:iCs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模块。可以实时监测使用者心率、压力指数、HRV、PNN50等数值，更加深入地分析用户的身心状态。</w:t>
            </w:r>
            <w:r>
              <w:rPr>
                <w:rStyle w:val="976"/>
                <w:rFonts w:hint="eastAsia" w:ascii="宋体" w:hAnsi="宋体" w:eastAsia="宋体" w:cs="宋体"/>
                <w:color w:val="auto"/>
                <w:sz w:val="21"/>
                <w:szCs w:val="21"/>
                <w:lang w:val="en-US" w:eastAsia="zh-CN" w:bidi="ar"/>
              </w:rPr>
              <w:t xml:space="preserve">（提供软件功能截图）</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#4.记录中心可以查询使用者本次及历次使用记录，可进行查询用户训练记录</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管理员可以对注册用户的用户名、性别、年龄等信息进行编辑、统一管理。支持按照用户名筛选数据，查询用户信息</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账号信息修改。</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AO6-04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心理挂图4</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技术参数同“AO1-02心理挂图1”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AO6-05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无声挂钟</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技术参数同“AO1-03无声挂钟”</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AO6-06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绿植</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#1.4m盆栽。</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种</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7.心理测评室</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AO7-01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心理测试管理工作平台</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numPr>
                <w:ilvl w:val="0"/>
                <w:numId w:val="9"/>
              </w:num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.系统至少包含用户信息管理、量表信息管理、测试方案管理、测试结果管理、危机评估干预、咨询配置管理、科研数据管理、网站信息管理、系统安全设置等模块功能；</w:t>
            </w:r>
            <w:r>
              <w:rPr>
                <w:rStyle w:val="976"/>
                <w:rFonts w:hint="eastAsia" w:ascii="宋体" w:hAnsi="宋体" w:eastAsia="宋体" w:cs="宋体"/>
                <w:color w:val="auto"/>
                <w:sz w:val="21"/>
                <w:szCs w:val="21"/>
                <w:lang w:val="en-US" w:eastAsia="zh-CN" w:bidi="ar"/>
              </w:rPr>
              <w:t xml:space="preserve">（提供软件功能截图）</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二、功能特点：</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用户信息管理用于人口学资料收集，包含用户名、注册日期、ID号、用户组、年龄范围、所属等信息，并支持追加详细信息内容。用户审核：管理员可以对注册用户进行审核、统一管理，支持批量审核、批量删除功能；系统支持下载Excel导入</w:t>
            </w:r>
            <w:r>
              <w:rPr>
                <w:rFonts w:hint="eastAsia" w:ascii="宋体" w:hAnsi="宋体" w:cs="宋体"/>
                <w:i w:val="0"/>
                <w:iCs w:val="0"/>
                <w:color w:val="auto"/>
                <w:sz w:val="21"/>
                <w:szCs w:val="21"/>
                <w:u w:val="none"/>
                <w:lang w:val="en-US" w:eastAsia="zh-CN" w:bidi="ar"/>
              </w:rPr>
              <w:t xml:space="preserve">模板</w:t>
            </w:r>
            <w:r>
              <w:rPr>
                <w:rFonts w:hint="eastAsia" w:ascii="宋体" w:hAnsi="宋体" w:eastAsia="宋体" w:cs="宋体"/>
                <w:i w:val="0"/>
                <w:iCs w:val="0"/>
                <w:color w:val="auto"/>
                <w:sz w:val="21"/>
                <w:szCs w:val="21"/>
                <w:u w:val="none"/>
                <w:lang w:val="en-US" w:eastAsia="zh-CN" w:bidi="ar"/>
              </w:rPr>
              <w:t xml:space="preserve">，一次性批量导入全部用户资料，即时生成</w:t>
            </w:r>
            <w:r>
              <w:rPr>
                <w:rFonts w:hint="eastAsia" w:ascii="宋体" w:hAnsi="宋体" w:cs="宋体"/>
                <w:i w:val="0"/>
                <w:iCs w:val="0"/>
                <w:color w:val="auto"/>
                <w:sz w:val="21"/>
                <w:szCs w:val="21"/>
                <w:u w:val="none"/>
                <w:lang w:val="en-US" w:eastAsia="zh-CN" w:bidi="ar"/>
              </w:rPr>
              <w:t xml:space="preserve">登录账号</w:t>
            </w:r>
            <w:r>
              <w:rPr>
                <w:rFonts w:hint="eastAsia" w:ascii="宋体" w:hAnsi="宋体" w:eastAsia="宋体" w:cs="宋体"/>
                <w:i w:val="0"/>
                <w:iCs w:val="0"/>
                <w:color w:val="auto"/>
                <w:sz w:val="21"/>
                <w:szCs w:val="21"/>
                <w:u w:val="none"/>
                <w:lang w:val="en-US" w:eastAsia="zh-CN" w:bidi="ar"/>
              </w:rPr>
              <w:t xml:space="preserve">、密码、机构等信息</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所属管理：建设统一的组织机构数据库，实现组织机构的集中管理、分级授权及统一认证，管理员可以对部门架构进行管理，支持新增、删除组织架构。配备导入部门架构的Excel模板，管理员可一键下载，按照操作提示快速上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#2.量表信息管理系统内包含心理健康、情绪、学习、智力、人格、社交、生活</w:t>
            </w:r>
            <w:r>
              <w:rPr>
                <w:rFonts w:hint="eastAsia" w:ascii="宋体" w:hAnsi="宋体" w:eastAsia="宋体" w:cs="宋体"/>
                <w:i w:val="0"/>
                <w:iCs w:val="0"/>
                <w:color w:val="auto"/>
                <w:sz w:val="21"/>
                <w:szCs w:val="21"/>
                <w:u w:val="none"/>
                <w:lang w:val="en-US" w:eastAsia="zh-CN" w:bidi="ar"/>
              </w:rPr>
              <w:t xml:space="preserve">、职业兴趣测评等专业心理量表供用户选择。满足千人同时在线测评，支持个人心理测评和团体心理测评，可自定义测试人群，并能智能检测用户是否符合测试条件，进一步提升测试的准确性。有管理后台权限的用户可以根据量表名或者量表分类查看量表，并根据需要开启、关闭、批量开启、批量关闭相应的量表。软件还配置了特殊量表，系统可以随机生成划消数字实验量表，可自主设置需要划消的数字以及随机数字的个数。量表会更新、修订，在数量和质量上不断提升，量表常模修正升级。灵活的量表管理功能：管理员用户可以添加、修改、删除量表分类名称，并支持自如</w:t>
            </w:r>
            <w:r>
              <w:rPr>
                <w:rFonts w:hint="eastAsia" w:ascii="宋体" w:hAnsi="宋体" w:cs="宋体"/>
                <w:i w:val="0"/>
                <w:iCs w:val="0"/>
                <w:color w:val="auto"/>
                <w:sz w:val="21"/>
                <w:szCs w:val="21"/>
                <w:u w:val="none"/>
                <w:lang w:val="en-US" w:eastAsia="zh-CN" w:bidi="ar"/>
              </w:rPr>
              <w:t xml:space="preserve">地</w:t>
            </w:r>
            <w:r>
              <w:rPr>
                <w:rFonts w:hint="eastAsia" w:ascii="宋体" w:hAnsi="宋体" w:eastAsia="宋体" w:cs="宋体"/>
                <w:i w:val="0"/>
                <w:iCs w:val="0"/>
                <w:color w:val="auto"/>
                <w:sz w:val="21"/>
                <w:szCs w:val="21"/>
                <w:u w:val="none"/>
                <w:lang w:val="en-US" w:eastAsia="zh-CN" w:bidi="ar"/>
              </w:rPr>
              <w:t xml:space="preserve">分配量表。#3.测试方案</w:t>
            </w:r>
            <w:r>
              <w:rPr>
                <w:rFonts w:hint="eastAsia" w:ascii="宋体" w:hAnsi="宋体" w:cs="宋体"/>
                <w:i w:val="0"/>
                <w:iCs w:val="0"/>
                <w:color w:val="auto"/>
                <w:sz w:val="21"/>
                <w:szCs w:val="21"/>
                <w:u w:val="none"/>
                <w:lang w:val="en-US" w:eastAsia="zh-CN" w:bidi="ar"/>
              </w:rPr>
              <w:t xml:space="preserve">管理</w:t>
            </w:r>
            <w:r>
              <w:rPr>
                <w:rFonts w:hint="eastAsia" w:ascii="宋体" w:hAnsi="宋体" w:eastAsia="宋体" w:cs="宋体"/>
                <w:i w:val="0"/>
                <w:iCs w:val="0"/>
                <w:color w:val="auto"/>
                <w:sz w:val="21"/>
                <w:szCs w:val="21"/>
                <w:u w:val="none"/>
                <w:lang w:val="en-US" w:eastAsia="zh-CN" w:bidi="ar"/>
              </w:rPr>
              <w:t xml:space="preserve">员可以根据需要配置不同的心理测试方案。可设置方案名称、方案时间、发布状态、量表清单、测试人员范围等，测评方案支持开放和关闭状态功能切换。开启新的测试方案，可以通过系统内邮件通知相关人员，方便对测试方案进程的跟进。</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测试结果管理用户可以对测试结果进行批量已读标记、批量建档操作，并支持数据按照预警等级、年龄、用户名等信息排序，也可以根据用户名、年龄范围、性别、ID号、量表名、预警等级和所属信息进行查看、导出、删除测试结果，批量导出和整体导出支持Excel和Word</w:t>
            </w:r>
            <w:r>
              <w:rPr>
                <w:rFonts w:hint="eastAsia" w:ascii="宋体" w:hAnsi="宋体" w:cs="宋体"/>
                <w:i w:val="0"/>
                <w:iCs w:val="0"/>
                <w:color w:val="auto"/>
                <w:sz w:val="21"/>
                <w:szCs w:val="21"/>
                <w:u w:val="none"/>
                <w:lang w:val="en-US" w:eastAsia="zh-CN" w:bidi="ar"/>
              </w:rPr>
              <w:t xml:space="preserve">多</w:t>
            </w:r>
            <w:r>
              <w:rPr>
                <w:rFonts w:hint="eastAsia" w:ascii="宋体" w:hAnsi="宋体" w:eastAsia="宋体" w:cs="宋体"/>
                <w:i w:val="0"/>
                <w:iCs w:val="0"/>
                <w:color w:val="auto"/>
                <w:sz w:val="21"/>
                <w:szCs w:val="21"/>
                <w:u w:val="none"/>
                <w:lang w:val="en-US" w:eastAsia="zh-CN" w:bidi="ar"/>
              </w:rPr>
              <w:t xml:space="preserve">种不同格式；系统自动统计分析，生成图文并茂的心理测评报告。系统可支持对数据的智能处理，可筛查出测试结果预警数值较高者，方便管理员关注跟进。管理员可以选择按照个人测试、团体测试、方案测试，查看、下载测试数据结果，支持查看团体数据预警人数所占比例、最大值、最小值等信息，并可以查看数据导出记录；系统自动对测试结果进行一级预警、二级预警、三级预警、其他预警、无预警人群的不同颜色的标注。</w:t>
            </w:r>
            <w:r/>
          </w:p>
          <w:p>
            <w:pPr>
              <w:numPr>
                <w:ilvl w:val="0"/>
                <w:numId w:val="0"/>
              </w:numPr>
              <w:jc w:val="left"/>
              <w:keepLines w:val="0"/>
              <w:keepNext w:val="0"/>
              <w:pageBreakBefore w:val="0"/>
              <w:spacing w:line="40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#5.危机评估干预系统智能将心理危机进行一级预警、二级预警、三级预警、其他预警、无预警</w:t>
            </w:r>
            <w:r>
              <w:rPr>
                <w:rFonts w:hint="eastAsia" w:ascii="宋体" w:hAnsi="宋体" w:cs="宋体"/>
                <w:i w:val="0"/>
                <w:iCs w:val="0"/>
                <w:color w:val="auto"/>
                <w:sz w:val="21"/>
                <w:szCs w:val="21"/>
                <w:u w:val="none"/>
                <w:lang w:val="en-US" w:eastAsia="zh-CN" w:bidi="ar"/>
              </w:rPr>
              <w:t xml:space="preserve">等多</w:t>
            </w:r>
            <w:r>
              <w:rPr>
                <w:rFonts w:hint="eastAsia" w:ascii="宋体" w:hAnsi="宋体" w:eastAsia="宋体" w:cs="宋体"/>
                <w:i w:val="0"/>
                <w:iCs w:val="0"/>
                <w:color w:val="auto"/>
                <w:sz w:val="21"/>
                <w:szCs w:val="21"/>
                <w:u w:val="none"/>
                <w:lang w:val="en-US" w:eastAsia="zh-CN" w:bidi="ar"/>
              </w:rPr>
              <w:t xml:space="preserve">种分级，并用</w:t>
            </w:r>
            <w:r>
              <w:rPr>
                <w:rFonts w:hint="eastAsia" w:ascii="宋体" w:hAnsi="宋体" w:cs="宋体"/>
                <w:i w:val="0"/>
                <w:iCs w:val="0"/>
                <w:strike w:val="0"/>
                <w:color w:val="auto"/>
                <w:sz w:val="21"/>
                <w:szCs w:val="21"/>
                <w:u w:val="none"/>
                <w:lang w:val="en-US" w:eastAsia="zh-CN" w:bidi="ar"/>
              </w:rPr>
              <w:t xml:space="preserve">不同</w:t>
            </w:r>
            <w:r>
              <w:rPr>
                <w:rFonts w:hint="eastAsia" w:ascii="宋体" w:hAnsi="宋体" w:eastAsia="宋体" w:cs="宋体"/>
                <w:i w:val="0"/>
                <w:iCs w:val="0"/>
                <w:color w:val="auto"/>
                <w:sz w:val="21"/>
                <w:szCs w:val="21"/>
                <w:u w:val="none"/>
                <w:lang w:val="en-US" w:eastAsia="zh-CN" w:bidi="ar"/>
              </w:rPr>
              <w:t xml:space="preserve">颜色显示。</w:t>
            </w:r>
            <w:r>
              <w:rPr>
                <w:rFonts w:hint="eastAsia" w:ascii="宋体" w:hAnsi="宋体" w:cs="宋体"/>
                <w:i w:val="0"/>
                <w:iCs w:val="0"/>
                <w:color w:val="auto"/>
                <w:sz w:val="21"/>
                <w:szCs w:val="21"/>
                <w:u w:val="none"/>
                <w:lang w:val="en-US" w:eastAsia="zh-CN" w:bidi="ar"/>
              </w:rPr>
              <w:t xml:space="preserve">系统</w:t>
            </w:r>
            <w:r>
              <w:rPr>
                <w:rFonts w:hint="eastAsia" w:ascii="宋体" w:hAnsi="宋体" w:eastAsia="宋体" w:cs="宋体"/>
                <w:i w:val="0"/>
                <w:iCs w:val="0"/>
                <w:color w:val="auto"/>
                <w:sz w:val="21"/>
                <w:szCs w:val="21"/>
                <w:u w:val="none"/>
                <w:lang w:val="en-US" w:eastAsia="zh-CN" w:bidi="ar"/>
              </w:rPr>
              <w:t xml:space="preserve">对预警等级划分有详细的说明解释，方便用户自行查看。危机监测设置：支持手机短信接收预警信息功能，用户可以设置接收用户的手机号码、警戒通知的等级、账户名、密码等；用户可以设置对一二三级预警用户以邮箱方式发送通知，并支持对多个预警用户同时发送，用户可针对心理危机现</w:t>
            </w:r>
            <w:r>
              <w:rPr>
                <w:rFonts w:hint="eastAsia" w:ascii="宋体" w:hAnsi="宋体" w:eastAsia="宋体" w:cs="宋体"/>
                <w:i w:val="0"/>
                <w:iCs w:val="0"/>
                <w:color w:val="auto"/>
                <w:sz w:val="21"/>
                <w:szCs w:val="21"/>
                <w:u w:val="none"/>
                <w:lang w:val="en-US" w:eastAsia="zh-CN" w:bidi="ar"/>
              </w:rPr>
              <w:t xml:space="preserve">状快速与领导沟通，商讨解决方案。危机评估管理：系统支持预警测试结果的详细信息显示。用户可以根据用户名、年龄范围、ID号、量表名称、预警等级、读取状态、所属信息查看测试结果，可单独或者批量导出报告，以供使用单位进一步研究分析。危机数据统计：用户可以按照不同纬度的指标检索测试数据，并自动生成统计图表，从而进行定期监控，便于应对突发事件。危机上报管理：系统可以自动生成危机心理状况统计表，管理员可以按照预警级别和人员所属快速上报文件。系统内可以用邮箱形式对测试结果进行相关管理人员的对接发送，以方便测试者相关人员及时</w:t>
            </w:r>
            <w:r>
              <w:rPr>
                <w:rFonts w:hint="eastAsia" w:ascii="宋体" w:hAnsi="宋体" w:cs="宋体"/>
                <w:i w:val="0"/>
                <w:iCs w:val="0"/>
                <w:color w:val="auto"/>
                <w:sz w:val="21"/>
                <w:szCs w:val="21"/>
                <w:u w:val="none"/>
                <w:lang w:val="en-US" w:eastAsia="zh-CN" w:bidi="ar"/>
              </w:rPr>
              <w:t xml:space="preserve">查看</w:t>
            </w:r>
            <w:r>
              <w:rPr>
                <w:rFonts w:hint="eastAsia" w:ascii="宋体" w:hAnsi="宋体" w:eastAsia="宋体" w:cs="宋体"/>
                <w:i w:val="0"/>
                <w:iCs w:val="0"/>
                <w:color w:val="auto"/>
                <w:sz w:val="21"/>
                <w:szCs w:val="21"/>
                <w:u w:val="none"/>
                <w:lang w:val="en-US" w:eastAsia="zh-CN" w:bidi="ar"/>
              </w:rPr>
              <w:t xml:space="preserve">测试用户的测试记录；</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#6.咨询配置管理预约症状设置：自定义设置支持预设症状种类，以适应用户实际使用需要。咨询师管理：页</w:t>
            </w:r>
            <w:r>
              <w:rPr>
                <w:rFonts w:hint="eastAsia" w:ascii="宋体" w:hAnsi="宋体" w:eastAsia="宋体" w:cs="宋体"/>
                <w:i w:val="0"/>
                <w:iCs w:val="0"/>
                <w:color w:val="auto"/>
                <w:sz w:val="21"/>
                <w:szCs w:val="21"/>
                <w:u w:val="none"/>
                <w:lang w:val="en-US" w:eastAsia="zh-CN" w:bidi="ar"/>
              </w:rPr>
              <w:t xml:space="preserve">面展示咨询师的姓名、年龄、邮箱、预约状态等详细信息。值班信息表：表格式排班设置，方便快捷，支持按周排班，并支持延续上周设置，排班时也可以查看咨询师年龄、等级、手机号码等详细信息。咨询预约管理：用户可以根据咨询师信息，选择适合自己的咨询师进行线上预约，简单操作，节省了咨询双方的时间。管理人员可以查看所有预约人员的详细信息、会诊结果，并可以在后台撤销预约。心理档案管理：系统可以为咨询用户建立心理档案，管理员可以查看档案详情、背景资料、联系方式等信息。系统配备详尽的档案系统，管理员可以为测试人员快速建档，以便持续</w:t>
            </w:r>
            <w:r>
              <w:rPr>
                <w:rFonts w:hint="eastAsia" w:ascii="宋体" w:hAnsi="宋体" w:cs="宋体"/>
                <w:i w:val="0"/>
                <w:iCs w:val="0"/>
                <w:color w:val="auto"/>
                <w:sz w:val="21"/>
                <w:szCs w:val="21"/>
                <w:u w:val="none"/>
                <w:lang w:val="en-US" w:eastAsia="zh-CN" w:bidi="ar"/>
              </w:rPr>
              <w:t xml:space="preserve">地</w:t>
            </w:r>
            <w:r>
              <w:rPr>
                <w:rFonts w:hint="eastAsia" w:ascii="宋体" w:hAnsi="宋体" w:eastAsia="宋体" w:cs="宋体"/>
                <w:i w:val="0"/>
                <w:iCs w:val="0"/>
                <w:color w:val="auto"/>
                <w:sz w:val="21"/>
                <w:szCs w:val="21"/>
                <w:u w:val="none"/>
                <w:lang w:val="en-US" w:eastAsia="zh-CN" w:bidi="ar"/>
              </w:rPr>
              <w:t xml:space="preserve">关注，预防突发事件发生。咨询回访管理：系统可以自如的设置回访日期、回访类型，并可以进行智能提醒。咨询留言管理：管理员可以根据主题、时间等查询留言信息。可以查看到未回复、已回复、已关注留言等信息，并可以回复、删除、关注留言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科研数据管理用户可以按照问卷的名称查看问卷详情信息，并可以对问卷进行新增、审核、删除、批量删除等操作；添加的问卷可以自行设置单选、多选、问答多种题型。用户可以对问卷结果进行详细查看、删除、统计、SPSS数据导出，便于用户单位开展心理健康科研活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#8.网站信息管理管理员有对展示界面的图片、文章、活动、下载资料等上传、修改、删除管理的功能。</w:t>
            </w:r>
            <w:r/>
          </w:p>
          <w:p>
            <w:pPr>
              <w:numPr>
                <w:ilvl w:val="0"/>
                <w:numId w:val="0"/>
              </w:num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系统安全设置采用加密技术，超级管理员权限管理，数据库独立保存，角色权限限制访问等多种安全手段保证测评安全性。数据备份管理：系统具备数据备份管理，设置了备份功能和数据还原功能，防止软件数据丢失。备份的数据可下载到本地服务器，实现异地灾备功能，确保系统数据安全。用户权限管理：支持自定义多个用户类型和用户角色，不同的用户类型关联不同的用户信息。不同角色可以设置不同的网站权限。</w:t>
            </w:r>
            <w:r>
              <w:rPr>
                <w:rFonts w:hint="eastAsia" w:ascii="宋体" w:hAnsi="宋体" w:eastAsia="宋体" w:cs="宋体"/>
                <w:i w:val="0"/>
                <w:iCs w:val="0"/>
                <w:strike w:val="0"/>
                <w:color w:val="auto"/>
                <w:sz w:val="21"/>
                <w:szCs w:val="21"/>
                <w:u w:val="none"/>
                <w:lang w:val="en-US" w:eastAsia="zh-CN" w:bidi="ar"/>
              </w:rPr>
              <w:t xml:space="preserve">站内邮箱：</w:t>
            </w:r>
            <w:r>
              <w:rPr>
                <w:rFonts w:hint="eastAsia" w:ascii="宋体" w:hAnsi="宋体" w:eastAsia="宋体" w:cs="宋体"/>
                <w:i w:val="0"/>
                <w:iCs w:val="0"/>
                <w:color w:val="auto"/>
                <w:sz w:val="21"/>
                <w:szCs w:val="21"/>
                <w:u w:val="none"/>
                <w:lang w:val="en-US" w:eastAsia="zh-CN" w:bidi="ar"/>
              </w:rPr>
              <w:t xml:space="preserve">对发布的测评方案，通过发送邮箱的方式，进行信息提醒。回收站：显示后台已删除的所有数据信息，管理员可对误操作的数据，进行数据还原等操作；也可对数据进行批量删除和清空数据操作，需要说明的是，在回收站里删除的所有数据无法恢复，请谨慎删除。用户操作记录：记录并显示出用户进入后台后，所查看的系统界面和操作的功能按键，可通过筛选条件搜索，进行便捷式操作。</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908"/>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AO7-02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生涯规划系统</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一</w:t>
            </w:r>
            <w:r>
              <w:rPr>
                <w:rFonts w:hint="eastAsia" w:ascii="宋体" w:hAnsi="宋体" w:eastAsia="宋体" w:cs="宋体"/>
                <w:i w:val="0"/>
                <w:iCs w:val="0"/>
                <w:color w:val="auto"/>
                <w:sz w:val="21"/>
                <w:szCs w:val="21"/>
                <w:u w:val="none"/>
                <w:lang w:val="en-US" w:eastAsia="zh-CN" w:bidi="ar"/>
              </w:rPr>
              <w:t xml:space="preserve">、技术描述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#1.系统架构：系统采用B/S架构，NET语言。采用浏览器+应用服务器+数据库的多架构运行模式，能够兼容在不同的操作系统上运行，能够支持庞大用户量和数据量。客户端无需安装，以IE 等浏览器为操作界面，并兼容SOGOU、360、 Firefox浏览器等</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数据库：可以适合大容量数据的应用，并具备开发的灵活性、可扩展性、可以用存储过程、函数等方面强大功能。数据库具有很好的伸缩性，可跨越多种平台使用，对Web技术的支持，使用户能够很容易地将数据库中的数据发布到Web页面上</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#3.网络环境：可运行于局域网（单位内网）和互联网。安全性高，稳定性强，既满足在本地电脑、局域网和互联网上同时进行团体测评，也可进行个体测评筛查</w:t>
            </w:r>
            <w:r>
              <w:rPr>
                <w:rFonts w:hint="eastAsia" w:ascii="宋体" w:hAnsi="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AO7-03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心理测试APP端</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一</w:t>
            </w:r>
            <w:r>
              <w:rPr>
                <w:rFonts w:hint="eastAsia" w:ascii="宋体" w:hAnsi="宋体" w:eastAsia="宋体" w:cs="宋体"/>
                <w:i w:val="0"/>
                <w:iCs w:val="0"/>
                <w:color w:val="auto"/>
                <w:sz w:val="21"/>
                <w:szCs w:val="21"/>
                <w:u w:val="none"/>
                <w:lang w:val="en-US" w:eastAsia="zh-CN" w:bidi="ar"/>
              </w:rPr>
              <w:t xml:space="preserve">、技术描述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#1.产品架构：产品数据与心理测试管理工作平台的应用服务器相连，数据实现同步共享，支持庞大用户量和数据量</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三、功能介绍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#1.心理新闻：展示与心理健康相关的最新心理资讯</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#2.活动管理：发布实时心理健康宣传活动后宣传报道信息</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#3.心理科普：提供专业、系统的心理科普服务，普及心理健康知识，传播心理健康理念</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#4.咨询师介绍：展示心理咨询师的基本信息</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#5.值班咨询师：系统自动显示当前日期下的所有值班咨询师，用户不仅可以结合自身需求的咨询时间，也可以根据某一特定咨询师的工作时间，进行在线咨询和预约咨询操作</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#6.心理测试：</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持两种方式进行量表测试。在遵循测试结果保密性原则下，管理员结合实际需求，可设置用户是否可以查看测试结果。个体测试：用户可根据个人需要进行量表测试，已授权开放的测试结果可查看，并记录在我的个人中心，支持进行量表搜索，快捷查找测试量表。方案测试：依照管理员发布的方案进行量表测试。同一方案下可设置多个量表，用户可根据方案显示的开始时间、结束时间，在时间内完成测试。需要注意，超出规定时间，则无法进行测试。</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AO7-04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测评桌椅</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长1500*宽750*高800mm；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#2.桌面材料</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25mm高密复合材料，具有、防油、防水、防腐蚀性能；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#3.桌架材料：桌架均采用≥1.</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mm冷轧钢焊接而成，加宽桌腿80*40mm</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表面喷塑具有防锈、防水等；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#4.抽屉材料：抽屉面板双层1.0mm，其余均为正1.0mm裸板，喷塑后1.2mm，表面经过打磨、磷化、喷塑、高温烘烤而成。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#5.测评椅2张，尺寸规格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*2</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*45（cm）主支撑脚采用≥40*20方钢管，拉挡为≥20*20方钢管，管材表面流水线静电喷塑处理。</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8.心理VR室</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AO8-01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Vr虚拟现实心理训练系统（专业版）</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一</w:t>
            </w:r>
            <w:r>
              <w:rPr>
                <w:rFonts w:hint="eastAsia" w:ascii="宋体" w:hAnsi="宋体" w:eastAsia="宋体" w:cs="宋体"/>
                <w:i w:val="0"/>
                <w:iCs w:val="0"/>
                <w:color w:val="auto"/>
                <w:sz w:val="21"/>
                <w:szCs w:val="21"/>
                <w:u w:val="none"/>
                <w:lang w:val="en-US" w:eastAsia="zh-CN" w:bidi="ar"/>
              </w:rPr>
              <w:t xml:space="preserve">、软件管理系统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#1.系统由前端和后端两部分组成。涵盖反馈训练、放松训练、数据处理等功能；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#2.系统前端分为反馈型心理训练、沉浸式放松、减压式放松、放松训练学习</w:t>
            </w:r>
            <w:r>
              <w:rPr>
                <w:rFonts w:hint="eastAsia" w:ascii="宋体" w:hAnsi="宋体" w:cs="宋体"/>
                <w:i w:val="0"/>
                <w:iCs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模块；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#3.系统后端用于人口学资料收集，包含：用户名、年龄、性别、联系方式等信息，支持对用户名的模糊搜索，便于快速查找用户信息。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支持管理员用户批量导入用户信息，即时生成</w:t>
            </w:r>
            <w:r>
              <w:rPr>
                <w:rFonts w:hint="eastAsia" w:ascii="宋体" w:hAnsi="宋体" w:cs="宋体"/>
                <w:i w:val="0"/>
                <w:iCs w:val="0"/>
                <w:color w:val="auto"/>
                <w:sz w:val="21"/>
                <w:szCs w:val="21"/>
                <w:u w:val="none"/>
                <w:lang w:val="en-US" w:eastAsia="zh-CN" w:bidi="ar"/>
              </w:rPr>
              <w:t xml:space="preserve">登录账号</w:t>
            </w:r>
            <w:r>
              <w:rPr>
                <w:rFonts w:hint="eastAsia" w:ascii="宋体" w:hAnsi="宋体" w:eastAsia="宋体" w:cs="宋体"/>
                <w:i w:val="0"/>
                <w:iCs w:val="0"/>
                <w:color w:val="auto"/>
                <w:sz w:val="21"/>
                <w:szCs w:val="21"/>
                <w:u w:val="none"/>
                <w:lang w:val="en-US" w:eastAsia="zh-CN" w:bidi="ar"/>
              </w:rPr>
              <w:t xml:space="preserve">、密码等信息，导入后即可登录系统，模板一键下载，操作简单。建设统一的组织级别，实现下设组织机构的分级管理。管理员可以对部门层级进行管理，支持添加、删除组织下设机构。可实时查看前端用户的训练信息。管理员可通过后端，实时同步训练用户的训练画面，了解用户的训练状态。自动为训练用户，创建训练档案，管理员可导出用户训练档案，进行线下的辅导和记录。</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13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AO8-02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身心调适训练系统（VR版）</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top"/>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一</w:t>
            </w:r>
            <w:r>
              <w:rPr>
                <w:rFonts w:hint="eastAsia" w:ascii="宋体" w:hAnsi="宋体" w:eastAsia="宋体" w:cs="宋体"/>
                <w:i w:val="0"/>
                <w:iCs w:val="0"/>
                <w:color w:val="auto"/>
                <w:sz w:val="21"/>
                <w:szCs w:val="21"/>
                <w:u w:val="none"/>
                <w:lang w:val="en-US" w:eastAsia="zh-CN" w:bidi="ar"/>
              </w:rPr>
              <w:t xml:space="preserve">、系统详情</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▲1.系统涵盖个人中心、训练中心、数据中心、心理评估、放松体验、系统管理</w:t>
            </w:r>
            <w:r>
              <w:rPr>
                <w:rFonts w:hint="eastAsia" w:ascii="宋体" w:hAnsi="宋体" w:cs="宋体"/>
                <w:i w:val="0"/>
                <w:iCs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模块。</w:t>
            </w:r>
            <w:r>
              <w:rPr>
                <w:rStyle w:val="976"/>
                <w:rFonts w:hint="eastAsia" w:ascii="宋体" w:hAnsi="宋体" w:eastAsia="宋体" w:cs="宋体"/>
                <w:color w:val="auto"/>
                <w:sz w:val="21"/>
                <w:szCs w:val="21"/>
                <w:lang w:val="en-US" w:eastAsia="zh-CN" w:bidi="ar"/>
              </w:rPr>
              <w:t xml:space="preserve">（提供软件功能截图）</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#2.个人中心：可以查看、修改个人信息、密码等基础信息；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#3.训练中心：训练中心分为体心训练和身心训练</w:t>
            </w:r>
            <w:r>
              <w:rPr>
                <w:rFonts w:hint="eastAsia" w:ascii="宋体" w:hAnsi="宋体" w:cs="宋体"/>
                <w:i w:val="0"/>
                <w:iCs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模块，训练者可以进行自主训练，也可进行针对性的训练；</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#4.数据中心：训练者可以查看自己的训练时间、心率、呼吸、速度等详细信息，系统采用可视化图表的方式展现数据；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#5.心理评估：内置不同类型的专业心理量表，训练者可以根据专业评估，把握自身的情况；</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#6.放松体验：音乐放松体验：内含多种音乐，可舒缓用户焦虑、紧张、抑郁等情绪。图片放松体验：训练者可以根据自己喜好选择图片进行放松。</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#7.系统管理：内置用户信息管理、训练中心管理、训练数据管理、心理评估管理、放松体验管理</w:t>
            </w:r>
            <w:r>
              <w:rPr>
                <w:rFonts w:hint="eastAsia" w:ascii="宋体" w:hAnsi="宋体" w:cs="宋体"/>
                <w:i w:val="0"/>
                <w:iCs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模块，管理员用户可对系统进行专业管理，多方面满足用户需求。</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9.心理团体活动室</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AO9-01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团体活动桌椅</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#1.活动桌规格≥800*450*750mm；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#2.木板：采用国家E1级标准三聚氰胺板面板厚度≥25MM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#3.脚管：前后脚采用25*50MM方型冷轧钢管</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壁厚≥1.5MM</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#4.上托：采用≥3.0MM壁厚冷轧钢板</w:t>
            </w:r>
            <w:r>
              <w:rPr>
                <w:rFonts w:hint="eastAsia" w:ascii="宋体" w:hAnsi="宋体" w:eastAsia="宋体" w:cs="宋体"/>
                <w:i w:val="0"/>
                <w:iCs w:val="0"/>
                <w:strike/>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#5.活动椅规格≥560*580*8</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#6.椅架</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钢架</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圆管直径≥22mm</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壁厚≥1.5mm</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表面电镀；</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3625"/>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AO9-02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团体辅导活动包</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#1.团体辅导活动箱：环境适应、人际交往、竞争合作、减压练习、创新实践、学习管理、自我意识、意志责任、感恩体验、心灵成长等。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二、产品包配置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#1.手提便携式团体活动箱5个</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38*28*15cm;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#3.具备</w:t>
            </w:r>
            <w:r>
              <w:rPr>
                <w:rFonts w:hint="eastAsia" w:ascii="宋体" w:hAnsi="宋体" w:cs="宋体"/>
                <w:i w:val="0"/>
                <w:iCs w:val="0"/>
                <w:color w:val="auto"/>
                <w:sz w:val="21"/>
                <w:szCs w:val="21"/>
                <w:u w:val="none"/>
                <w:lang w:val="en-US" w:eastAsia="zh-CN" w:bidi="ar"/>
              </w:rPr>
              <w:t xml:space="preserve">多</w:t>
            </w:r>
            <w:r>
              <w:rPr>
                <w:rFonts w:hint="eastAsia" w:ascii="宋体" w:hAnsi="宋体" w:eastAsia="宋体" w:cs="宋体"/>
                <w:i w:val="0"/>
                <w:iCs w:val="0"/>
                <w:color w:val="auto"/>
                <w:sz w:val="21"/>
                <w:szCs w:val="21"/>
                <w:u w:val="none"/>
                <w:lang w:val="en-US" w:eastAsia="zh-CN" w:bidi="ar"/>
              </w:rPr>
              <w:t xml:space="preserve">个主题活动。人际关系及环境适应</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自信培养、感恩体验</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价值观及自我意识</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创新实践及心灵成长</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情绪管理及心理减压。人际关系及环境适应包括热身、环境适应、沟通交往、竞争合作</w:t>
            </w:r>
            <w:r>
              <w:rPr>
                <w:rFonts w:hint="eastAsia" w:ascii="宋体" w:hAnsi="宋体" w:cs="宋体"/>
                <w:i w:val="0"/>
                <w:iCs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活动主题，配备</w:t>
            </w:r>
            <w:r>
              <w:rPr>
                <w:rFonts w:hint="eastAsia" w:ascii="宋体" w:hAnsi="宋体" w:cs="宋体"/>
                <w:i w:val="0"/>
                <w:iCs w:val="0"/>
                <w:color w:val="auto"/>
                <w:sz w:val="21"/>
                <w:szCs w:val="21"/>
                <w:u w:val="none"/>
                <w:lang w:val="en-US" w:eastAsia="zh-CN" w:bidi="ar"/>
              </w:rPr>
              <w:t xml:space="preserve">多</w:t>
            </w:r>
            <w:r>
              <w:rPr>
                <w:rFonts w:hint="eastAsia" w:ascii="宋体" w:hAnsi="宋体" w:eastAsia="宋体" w:cs="宋体"/>
                <w:i w:val="0"/>
                <w:iCs w:val="0"/>
                <w:color w:val="auto"/>
                <w:sz w:val="21"/>
                <w:szCs w:val="21"/>
                <w:u w:val="none"/>
                <w:lang w:val="en-US" w:eastAsia="zh-CN" w:bidi="ar"/>
              </w:rPr>
              <w:t xml:space="preserve">个团体活动方案。感恩体验、自信培养包括热身、自信心训练、感恩体验、学习管理</w:t>
            </w:r>
            <w:r>
              <w:rPr>
                <w:rFonts w:hint="eastAsia" w:ascii="宋体" w:hAnsi="宋体" w:cs="宋体"/>
                <w:i w:val="0"/>
                <w:iCs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活动主题，配备了</w:t>
            </w:r>
            <w:r>
              <w:rPr>
                <w:rFonts w:hint="eastAsia" w:ascii="宋体" w:hAnsi="宋体" w:cs="宋体"/>
                <w:i w:val="0"/>
                <w:iCs w:val="0"/>
                <w:color w:val="auto"/>
                <w:sz w:val="21"/>
                <w:szCs w:val="21"/>
                <w:u w:val="none"/>
                <w:lang w:val="en-US" w:eastAsia="zh-CN" w:bidi="ar"/>
              </w:rPr>
              <w:t xml:space="preserve">多</w:t>
            </w:r>
            <w:r>
              <w:rPr>
                <w:rFonts w:hint="eastAsia" w:ascii="宋体" w:hAnsi="宋体" w:eastAsia="宋体" w:cs="宋体"/>
                <w:i w:val="0"/>
                <w:iCs w:val="0"/>
                <w:color w:val="auto"/>
                <w:sz w:val="21"/>
                <w:szCs w:val="21"/>
                <w:u w:val="none"/>
                <w:lang w:val="en-US" w:eastAsia="zh-CN" w:bidi="ar"/>
              </w:rPr>
              <w:t xml:space="preserve">个团体活动方案。价值观及自我意识包括热身、自我意识、价值观、意志责任</w:t>
            </w:r>
            <w:r>
              <w:rPr>
                <w:rFonts w:hint="eastAsia" w:ascii="宋体" w:hAnsi="宋体" w:cs="宋体"/>
                <w:i w:val="0"/>
                <w:iCs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活动主题，配备了</w:t>
            </w:r>
            <w:r>
              <w:rPr>
                <w:rFonts w:hint="eastAsia" w:ascii="宋体" w:hAnsi="宋体" w:cs="宋体"/>
                <w:i w:val="0"/>
                <w:iCs w:val="0"/>
                <w:color w:val="auto"/>
                <w:sz w:val="21"/>
                <w:szCs w:val="21"/>
                <w:u w:val="none"/>
                <w:lang w:val="en-US" w:eastAsia="zh-CN" w:bidi="ar"/>
              </w:rPr>
              <w:t xml:space="preserve">多</w:t>
            </w:r>
            <w:r>
              <w:rPr>
                <w:rFonts w:hint="eastAsia" w:ascii="宋体" w:hAnsi="宋体" w:eastAsia="宋体" w:cs="宋体"/>
                <w:i w:val="0"/>
                <w:iCs w:val="0"/>
                <w:color w:val="auto"/>
                <w:sz w:val="21"/>
                <w:szCs w:val="21"/>
                <w:u w:val="none"/>
                <w:lang w:val="en-US" w:eastAsia="zh-CN" w:bidi="ar"/>
              </w:rPr>
              <w:t xml:space="preserve">个团体活动方案。创新实践及心灵成长包括热身、心灵成长、创新实践</w:t>
            </w:r>
            <w:r>
              <w:rPr>
                <w:rFonts w:hint="eastAsia" w:ascii="宋体" w:hAnsi="宋体" w:cs="宋体"/>
                <w:i w:val="0"/>
                <w:iCs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活动主题，配备了</w:t>
            </w:r>
            <w:r>
              <w:rPr>
                <w:rFonts w:hint="eastAsia" w:ascii="宋体" w:hAnsi="宋体" w:cs="宋体"/>
                <w:i w:val="0"/>
                <w:iCs w:val="0"/>
                <w:color w:val="auto"/>
                <w:sz w:val="21"/>
                <w:szCs w:val="21"/>
                <w:u w:val="none"/>
                <w:lang w:val="en-US" w:eastAsia="zh-CN" w:bidi="ar"/>
              </w:rPr>
              <w:t xml:space="preserve">多</w:t>
            </w:r>
            <w:r>
              <w:rPr>
                <w:rFonts w:hint="eastAsia" w:ascii="宋体" w:hAnsi="宋体" w:eastAsia="宋体" w:cs="宋体"/>
                <w:i w:val="0"/>
                <w:iCs w:val="0"/>
                <w:color w:val="auto"/>
                <w:sz w:val="21"/>
                <w:szCs w:val="21"/>
                <w:u w:val="none"/>
                <w:lang w:val="en-US" w:eastAsia="zh-CN" w:bidi="ar"/>
              </w:rPr>
              <w:t xml:space="preserve">个团体活动方案。情绪管理及心理减压包括热身、情绪管理、减压练习</w:t>
            </w:r>
            <w:r>
              <w:rPr>
                <w:rFonts w:hint="eastAsia" w:ascii="宋体" w:hAnsi="宋体" w:cs="宋体"/>
                <w:i w:val="0"/>
                <w:iCs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活动主题，配备了</w:t>
            </w:r>
            <w:r>
              <w:rPr>
                <w:rFonts w:hint="eastAsia" w:ascii="宋体" w:hAnsi="宋体" w:cs="宋体"/>
                <w:i w:val="0"/>
                <w:iCs w:val="0"/>
                <w:color w:val="auto"/>
                <w:sz w:val="21"/>
                <w:szCs w:val="21"/>
                <w:u w:val="none"/>
                <w:lang w:val="en-US" w:eastAsia="zh-CN" w:bidi="ar"/>
              </w:rPr>
              <w:t xml:space="preserve">多</w:t>
            </w:r>
            <w:r>
              <w:rPr>
                <w:rFonts w:hint="eastAsia" w:ascii="宋体" w:hAnsi="宋体" w:eastAsia="宋体" w:cs="宋体"/>
                <w:i w:val="0"/>
                <w:iCs w:val="0"/>
                <w:color w:val="auto"/>
                <w:sz w:val="21"/>
                <w:szCs w:val="21"/>
                <w:u w:val="none"/>
                <w:lang w:val="en-US" w:eastAsia="zh-CN" w:bidi="ar"/>
              </w:rPr>
              <w:t xml:space="preserve">个团体活动方案。</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#4.主题活动所需器材</w:t>
            </w:r>
            <w:r>
              <w:rPr>
                <w:rFonts w:hint="eastAsia" w:ascii="宋体" w:hAnsi="宋体" w:cs="宋体"/>
                <w:i w:val="0"/>
                <w:iCs w:val="0"/>
                <w:strike w:val="0"/>
                <w:color w:val="auto"/>
                <w:sz w:val="21"/>
                <w:szCs w:val="21"/>
                <w:u w:val="none"/>
                <w:lang w:val="en-US" w:eastAsia="zh-CN" w:bidi="ar"/>
              </w:rPr>
              <w:t xml:space="preserve">包括但不限于</w:t>
            </w:r>
            <w:r>
              <w:rPr>
                <w:rFonts w:hint="eastAsia" w:ascii="宋体" w:hAnsi="宋体" w:eastAsia="宋体" w:cs="宋体"/>
                <w:i w:val="0"/>
                <w:iCs w:val="0"/>
                <w:color w:val="auto"/>
                <w:sz w:val="21"/>
                <w:szCs w:val="21"/>
                <w:u w:val="none"/>
                <w:lang w:val="en-US" w:eastAsia="zh-CN" w:bidi="ar"/>
              </w:rPr>
              <w:t xml:space="preserve">：纸、笔、空白的胸卡、彩色笔、十二生肖面具、彩色卡纸</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正方形）、充气棒、各种信息卡、短绳、口罩、眼罩、彩笔、图画纸、16开彩纸、剪刀、最佳配图、彩色卡片、高帽、自我教导语言提示卡、人际关系问题解决方法提示卡</w:t>
            </w:r>
            <w:r>
              <w:rPr>
                <w:rFonts w:hint="eastAsia" w:ascii="宋体" w:hAnsi="宋体" w:cs="宋体"/>
                <w:i w:val="0"/>
                <w:iCs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1000余件。团体活动手册5本</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三、团体辅导管理软件要求：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▲1.包含团体管理软件记录、用户管理、多媒体记录、数据录入等模块。</w:t>
            </w:r>
            <w:r>
              <w:rPr>
                <w:rFonts w:hint="eastAsia" w:ascii="宋体" w:hAnsi="宋体" w:cs="宋体"/>
                <w:i w:val="0"/>
                <w:iCs w:val="0"/>
                <w:color w:val="auto"/>
                <w:sz w:val="21"/>
                <w:szCs w:val="21"/>
                <w:u w:val="none"/>
                <w:lang w:val="en-US" w:eastAsia="zh-CN" w:bidi="ar"/>
              </w:rPr>
              <w:t xml:space="preserve">（</w:t>
            </w:r>
            <w:r>
              <w:rPr>
                <w:rStyle w:val="976"/>
                <w:rFonts w:hint="eastAsia" w:ascii="宋体" w:hAnsi="宋体" w:eastAsia="宋体" w:cs="宋体"/>
                <w:color w:val="auto"/>
                <w:sz w:val="21"/>
                <w:szCs w:val="21"/>
                <w:lang w:val="en-US" w:eastAsia="zh-CN" w:bidi="ar"/>
              </w:rPr>
              <w:t xml:space="preserve">提供功能截图</w:t>
            </w:r>
            <w:r>
              <w:rPr>
                <w:rStyle w:val="976"/>
                <w:rFonts w:hint="eastAsia" w:ascii="宋体" w:hAnsi="宋体" w:cs="宋体"/>
                <w:color w:val="auto"/>
                <w:sz w:val="21"/>
                <w:szCs w:val="21"/>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#2.用户账号管理：管理员可以对注册用户的用户名、性别、用户身份等信息进行编辑、统一管理，不同的角色具有软件使用的不同权限，极大</w:t>
            </w:r>
            <w:r>
              <w:rPr>
                <w:rFonts w:hint="eastAsia" w:ascii="宋体" w:hAnsi="宋体" w:cs="宋体"/>
                <w:i w:val="0"/>
                <w:iCs w:val="0"/>
                <w:color w:val="auto"/>
                <w:sz w:val="21"/>
                <w:szCs w:val="21"/>
                <w:u w:val="none"/>
                <w:lang w:val="en-US" w:eastAsia="zh-CN" w:bidi="ar"/>
              </w:rPr>
              <w:t xml:space="preserve">地</w:t>
            </w:r>
            <w:r>
              <w:rPr>
                <w:rFonts w:hint="eastAsia" w:ascii="宋体" w:hAnsi="宋体" w:eastAsia="宋体" w:cs="宋体"/>
                <w:i w:val="0"/>
                <w:iCs w:val="0"/>
                <w:color w:val="auto"/>
                <w:sz w:val="21"/>
                <w:szCs w:val="21"/>
                <w:u w:val="none"/>
                <w:lang w:val="en-US" w:eastAsia="zh-CN" w:bidi="ar"/>
              </w:rPr>
              <w:t xml:space="preserve">保证了用户信息安全。支持按照用户名筛选数据，方便查询用户信息。成员信息管理：管理员可以自如添加、删除成员用户个人信息，并支持与数据录入模块进行关联，简化心理咨询师数据录入工作。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#3.多媒体记录图片记录：系统支持上传</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jpg、bmp等文件格式图片，并可记录上传时间、录入人员、图片名称等信息。视频记录：系统支持上传wmv ,avi等文件格式影像，并可记录上传时间、录入人员、影片名称等信息。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#4.数据录入模块里面包含了团体辅导添加、多媒体文件添加、团体活动反馈添加、团体过程单元添加、团体成员自评添加、成员评估添加、团体辅导过程添加、团体领导者评估添加</w:t>
            </w:r>
            <w:r>
              <w:rPr>
                <w:rFonts w:hint="eastAsia" w:ascii="宋体" w:hAnsi="宋体" w:eastAsia="宋体" w:cs="宋体"/>
                <w:i w:val="0"/>
                <w:iCs w:val="0"/>
                <w:strike/>
                <w:color w:val="auto"/>
                <w:sz w:val="21"/>
                <w:szCs w:val="21"/>
                <w:u w:val="none"/>
                <w:lang w:val="en-US" w:eastAsia="zh-CN" w:bidi="ar"/>
              </w:rPr>
              <w:t xml:space="preserve">八类</w:t>
            </w:r>
            <w:r>
              <w:rPr>
                <w:rFonts w:hint="eastAsia" w:ascii="宋体" w:hAnsi="宋体" w:cs="宋体"/>
                <w:i w:val="0"/>
                <w:iCs w:val="0"/>
                <w:color w:val="auto"/>
                <w:sz w:val="21"/>
                <w:szCs w:val="21"/>
                <w:u w:val="none"/>
                <w:lang w:val="en-US" w:eastAsia="zh-CN" w:bidi="ar"/>
              </w:rPr>
              <w:t xml:space="preserve">等</w:t>
            </w:r>
            <w:r>
              <w:rPr>
                <w:rFonts w:hint="eastAsia" w:ascii="宋体" w:hAnsi="宋体" w:eastAsia="宋体" w:cs="宋体"/>
                <w:i w:val="0"/>
                <w:iCs w:val="0"/>
                <w:color w:val="auto"/>
                <w:sz w:val="21"/>
                <w:szCs w:val="21"/>
                <w:u w:val="none"/>
                <w:lang w:val="en-US" w:eastAsia="zh-CN" w:bidi="ar"/>
              </w:rPr>
              <w:t xml:space="preserve">团辅管理，帮助心理咨询师对团体辅导过程的环节把控。</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346"/>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AO9-03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心理剧工具箱</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基础版</w:t>
            </w:r>
            <w:r>
              <w:rPr>
                <w:rFonts w:hint="eastAsia" w:ascii="宋体" w:hAnsi="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一</w:t>
            </w:r>
            <w:r>
              <w:rPr>
                <w:rFonts w:hint="eastAsia" w:ascii="宋体" w:hAnsi="宋体" w:eastAsia="宋体" w:cs="宋体"/>
                <w:i w:val="0"/>
                <w:iCs w:val="0"/>
                <w:color w:val="auto"/>
                <w:sz w:val="21"/>
                <w:szCs w:val="21"/>
                <w:u w:val="none"/>
                <w:lang w:val="en-US" w:eastAsia="zh-CN" w:bidi="ar"/>
              </w:rPr>
              <w:t xml:space="preserve">、详细配置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利用心理剧工具箱，可以自如运用暖身技术、雕塑技术、设景技术、角色互换技术、镜像技术、替身技术、束绳技术、宣泄技术、空椅子技术，并实施到心理辅导工作中去。该工具包具备螺旋心理剧所需要的各种标志物、道具、器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#2.器材</w:t>
            </w:r>
            <w:r>
              <w:rPr>
                <w:rFonts w:hint="eastAsia" w:ascii="宋体" w:hAnsi="宋体" w:cs="宋体"/>
                <w:i w:val="0"/>
                <w:iCs w:val="0"/>
                <w:color w:val="auto"/>
                <w:sz w:val="21"/>
                <w:szCs w:val="21"/>
                <w:u w:val="none"/>
                <w:lang w:val="en-US" w:eastAsia="zh-CN" w:bidi="ar"/>
              </w:rPr>
              <w:t xml:space="preserve">包括</w:t>
            </w:r>
            <w:r>
              <w:rPr>
                <w:rFonts w:hint="eastAsia" w:ascii="宋体" w:hAnsi="宋体" w:eastAsia="宋体" w:cs="宋体"/>
                <w:i w:val="0"/>
                <w:iCs w:val="0"/>
                <w:color w:val="auto"/>
                <w:sz w:val="21"/>
                <w:szCs w:val="21"/>
                <w:u w:val="none"/>
                <w:lang w:val="en-US" w:eastAsia="zh-CN" w:bidi="ar"/>
              </w:rPr>
              <w:t xml:space="preserve">：魔法棒，魔鬼服，大丝巾，角色牌，丝带（红黄蓝），不透光的黑布，不透光的银色布，多种音乐CD，彩笔，大白纸，各种情景卡片，志趣相投卡片，各种表情面具，纸球，锤子、社会测量卡，彩布，禅卡，风景卡，动物卡，性别认同卡，水晶卡，出气棒等180多个物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#3.心理剧活动手册：一本详细活动指南、一本心理剧活动教材。</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AO9-04</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艺术心理辅导工具包</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#1.工具箱2个，箱体外观颜色为黄色。 1号箱</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长50cm *宽3</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cm*高30cm，内部隔板分成4格，内置拉杆及滚轮。2号箱</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长</w:t>
            </w:r>
            <w:r>
              <w:rPr>
                <w:rFonts w:hint="eastAsia" w:ascii="宋体" w:hAnsi="宋体" w:cs="宋体"/>
                <w:i w:val="0"/>
                <w:iCs w:val="0"/>
                <w:color w:val="auto"/>
                <w:sz w:val="21"/>
                <w:szCs w:val="21"/>
                <w:u w:val="none"/>
                <w:lang w:val="en-US" w:eastAsia="zh-CN" w:bidi="ar"/>
              </w:rPr>
              <w:t xml:space="preserve">70</w:t>
            </w:r>
            <w:r>
              <w:rPr>
                <w:rFonts w:hint="eastAsia" w:ascii="宋体" w:hAnsi="宋体" w:eastAsia="宋体" w:cs="宋体"/>
                <w:i w:val="0"/>
                <w:iCs w:val="0"/>
                <w:color w:val="auto"/>
                <w:sz w:val="21"/>
                <w:szCs w:val="21"/>
                <w:u w:val="none"/>
                <w:lang w:val="en-US" w:eastAsia="zh-CN" w:bidi="ar"/>
              </w:rPr>
              <w:t xml:space="preserve"> cm *38 cm *高3</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cm，内部隔板分成一大一小2格，内置拉杆及滚轮；配套艺术放松学习</w:t>
            </w:r>
            <w:r>
              <w:rPr>
                <w:rFonts w:hint="eastAsia" w:ascii="宋体" w:hAnsi="宋体" w:cs="宋体"/>
                <w:i w:val="0"/>
                <w:iCs w:val="0"/>
                <w:color w:val="auto"/>
                <w:sz w:val="21"/>
                <w:szCs w:val="21"/>
                <w:u w:val="none"/>
                <w:lang w:val="en-US" w:eastAsia="zh-CN" w:bidi="ar"/>
              </w:rPr>
              <w:t xml:space="preserve">手册</w:t>
            </w:r>
            <w:r>
              <w:rPr>
                <w:rFonts w:hint="eastAsia" w:ascii="宋体" w:hAnsi="宋体" w:eastAsia="宋体" w:cs="宋体"/>
                <w:i w:val="0"/>
                <w:iCs w:val="0"/>
                <w:color w:val="auto"/>
                <w:sz w:val="21"/>
                <w:szCs w:val="21"/>
                <w:u w:val="none"/>
                <w:lang w:val="en-US" w:eastAsia="zh-CN" w:bidi="ar"/>
              </w:rPr>
              <w:t xml:space="preserve">4本；</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AO9-05</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投影仪</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both"/>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#1.透射比：1.26-2.09；光源类型</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激光光源；光学分辨率：不小于1280*800dpi；支持投放范围：30-300英寸；灯泡寿命：大于20000小时；变焦倍数：达到1.6倍。</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AO9-06</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心理挂图5</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技术参数同“AO1-02心理挂图1”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幅</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891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10.阳光驿站走廊文化</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AO10-01</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心理挂图6</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技术参数同“AO1-02心理挂图1”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AO10-02</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文化墙</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#1.文化装饰，墙面彩绘，深化设计经由甲方确认后方可施工（室内和走廊文化布置）。</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AO10-03</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饮水机</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#1.类型：温热型饮水机；款式：立式；颜色：白色；内胆材质 奥氏体不锈钢。制热功率：≥1350W。制冷功率：75W。保温功率：15W。</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bl>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bl>
      <w:tblPr>
        <w:tblStyle w:val="727"/>
        <w:tblW w:w="1034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8"/>
        <w:gridCol w:w="1314"/>
        <w:gridCol w:w="6615"/>
        <w:gridCol w:w="765"/>
        <w:gridCol w:w="666"/>
      </w:tblGrid>
      <w:tr>
        <w:trPr>
          <w:trHeight w:val="567"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103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AP-智慧书法教室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3697"/>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AP1-01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书法在线云课堂</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提供书法教学云平台接入服务，支持通过浏览器即可访问书法在线云课堂，接入后可使书法教室配置的教学软件具有网络化云平台服务功能；书法在线云课堂登录页面支持通过账号加密码或用户手机号码加验证码</w:t>
            </w:r>
            <w:r>
              <w:rPr>
                <w:rFonts w:hint="eastAsia" w:ascii="宋体" w:hAnsi="宋体" w:cs="宋体"/>
                <w:i w:val="0"/>
                <w:iCs w:val="0"/>
                <w:color w:val="auto"/>
                <w:sz w:val="21"/>
                <w:szCs w:val="21"/>
                <w:highlight w:val="none"/>
                <w:u w:val="none"/>
                <w:lang w:val="en-US" w:eastAsia="zh-CN" w:bidi="ar"/>
              </w:rPr>
              <w:t xml:space="preserve">多</w:t>
            </w:r>
            <w:r>
              <w:rPr>
                <w:rFonts w:hint="eastAsia" w:ascii="宋体" w:hAnsi="宋体" w:eastAsia="宋体" w:cs="宋体"/>
                <w:i w:val="0"/>
                <w:iCs w:val="0"/>
                <w:color w:val="auto"/>
                <w:sz w:val="21"/>
                <w:szCs w:val="21"/>
                <w:highlight w:val="none"/>
                <w:u w:val="none"/>
                <w:lang w:val="en-US" w:eastAsia="zh-CN" w:bidi="ar"/>
              </w:rPr>
              <w:t xml:space="preserve">种方式登录；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#2.支持每间教室的设备上直接打开浏览器登录书法在线云课堂进行书法教学，无需安装</w:t>
            </w:r>
            <w:r>
              <w:rPr>
                <w:rFonts w:hint="eastAsia" w:ascii="宋体" w:hAnsi="宋体" w:cs="宋体"/>
                <w:i w:val="0"/>
                <w:iCs w:val="0"/>
                <w:color w:val="auto"/>
                <w:sz w:val="21"/>
                <w:szCs w:val="21"/>
                <w:highlight w:val="none"/>
                <w:u w:val="none"/>
                <w:lang w:val="en-US" w:eastAsia="zh-CN" w:bidi="ar"/>
              </w:rPr>
              <w:t xml:space="preserve">其他</w:t>
            </w:r>
            <w:r>
              <w:rPr>
                <w:rFonts w:hint="eastAsia" w:ascii="宋体" w:hAnsi="宋体" w:eastAsia="宋体" w:cs="宋体"/>
                <w:i w:val="0"/>
                <w:iCs w:val="0"/>
                <w:color w:val="auto"/>
                <w:sz w:val="21"/>
                <w:szCs w:val="21"/>
                <w:highlight w:val="none"/>
                <w:u w:val="none"/>
                <w:lang w:val="en-US" w:eastAsia="zh-CN" w:bidi="ar"/>
              </w:rPr>
              <w:t xml:space="preserve">软硬件设备；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通过网址登录书法在线云课堂首页显示不少于12个功能模块图标，包括楷书教学、小楷教学、行书教学、隶书教学、篆书教学、草书教学、硬笔教学、粉笔教学、教学视频、碑帖字帖、集字临帖、课程讲义、创作素材、云备课等教学软件访问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#4.楷书教学功能模块内容</w:t>
            </w:r>
            <w:r>
              <w:rPr>
                <w:rFonts w:hint="eastAsia" w:ascii="宋体" w:hAnsi="宋体" w:cs="宋体"/>
                <w:i w:val="0"/>
                <w:iCs w:val="0"/>
                <w:color w:val="auto"/>
                <w:sz w:val="21"/>
                <w:szCs w:val="21"/>
                <w:highlight w:val="none"/>
                <w:u w:val="none"/>
                <w:lang w:val="en-US" w:eastAsia="zh-CN" w:bidi="ar"/>
              </w:rPr>
              <w:t xml:space="preserve">至少</w:t>
            </w:r>
            <w:r>
              <w:rPr>
                <w:rFonts w:hint="eastAsia" w:ascii="宋体" w:hAnsi="宋体" w:eastAsia="宋体" w:cs="宋体"/>
                <w:i w:val="0"/>
                <w:iCs w:val="0"/>
                <w:color w:val="auto"/>
                <w:sz w:val="21"/>
                <w:szCs w:val="21"/>
                <w:highlight w:val="none"/>
                <w:u w:val="none"/>
                <w:lang w:val="en-US" w:eastAsia="zh-CN" w:bidi="ar"/>
              </w:rPr>
              <w:t xml:space="preserve">包括欧体、颜体多宝塔、颜体勤礼碑、柳体、赵体等不同书体的楷书教学内容；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#5.提供赵孟頫小楷《道德经》和王羲之《黄庭经》</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不同小楷字帖教学内容；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#6.篆书教学功能模块内容包括《石鼓文</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泰山刻石》以及《峄山碑》</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不同大小篆书体教学内容；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#7.行书教学功能模块内容包括《怀仁集王羲之圣教序》和《苕溪诗帖》</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教学内容；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#8.隶书教学功能模块内容包括《乙瑛碑</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曹全碑》和《礼器碑》</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教学内容；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#9.草书教学功能模块内容包括《书谱》</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教学内容；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#10.每个软笔书体教学模块分为笔画教学、偏旁部首、间架结构以及结体规律教学</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教学内容；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#11.每个软笔书体教学例字提供碑帖原图、矢量字帖、双钩形式和单钩形式，满足读帖、摹帖、临写和比对的不同临摹要求；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#12.每个软笔书体教学例字的教学面板支持修改书写格形式，包括方格、九宫格、米字格、田字格和回米格</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形式，支持修改格子线条颜色，支持更换例字颜色和例字背景颜色；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软笔书体教学例字支持在浏览器中查看示范视频的不同书写示范视频画面，包括俯拍单画面、侧拍单画面、俯拍和侧拍左右双画面视频、俯拍嵌入侧拍画中画视频以及侧拍嵌入俯拍画中画视频，视频画面支持播放时不间断切换；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#14.提供硬笔教学功能，包括数字教学、拼音教学、笔顺教学、笔画教学、 偏旁部首和间架结构</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教学内容；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#15.硬笔例字提供书写示范视频，示范类型包括铅笔和中性笔等学生常用笔书写示范，例字的示范视频播放画面可以实时切换成铅笔或其他书写工具示范画面；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#16.硬笔例字支持调取笔画分解序列图，查看例字的书写笔顺，硬笔例字提供笔顺演示动画，提供硬笔书写笔顺的书写评测功能；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#17.提供粉笔楷书教学内容，包括基础知识教学、笔画教学、偏旁部首、间架结构和结字规律</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板块</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#18.提供高清教学视频资源库，包括软笔、硬笔以及粉笔视频资源库；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软笔视频包括颜体、欧体、柳体、赵体、曹全碑、石鼓文、峄山碑、多宝塔、泰山刻石、圣教序、苕溪诗帖、黄庭经、道德经、乙瑛碑、礼器碑、书谱、张黑女、真草千字文、雁塔圣教序和大字阴符经等不同书体的视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#20.提供教育部《中小学书法教育指导纲要》推荐临摹和鉴赏的楷书、隶书、行书、篆书和草书字帖等高清字帖资源库；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#21.字帖支持按照年代、作者、字帖名称、字体查询字帖，支持对字帖图片进行反向、调整亮度、对比度、饱和度和旋转色相功能；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 提供临摹字帖集字排版功能，支持临摹模板自主排版，支持自由拖拽临摹练习顺序和位置，支持设置临摹字格大小、字格数量和字格颜色，支持调整集字临摹的字格格式，包括方格、回米格、米字格、田字格和九宫格</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#23.提供欧体楷书、颜体楷书、柳体楷书、赵体楷书、颜体多宝塔和曹全碑</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书体的教学课程讲义，讲义中提供教学示范例字，例字具有俯拍和侧拍双画面示范视频；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#24.提供硬笔规范字课程讲义，内容不少于笔画教学、偏旁部首、间架结构和结字规律讲义</w:t>
            </w:r>
            <w:r>
              <w:rPr>
                <w:rFonts w:hint="eastAsia" w:ascii="宋体" w:hAnsi="宋体" w:cs="宋体"/>
                <w:i w:val="0"/>
                <w:iCs w:val="0"/>
                <w:color w:val="auto"/>
                <w:sz w:val="21"/>
                <w:szCs w:val="21"/>
                <w:highlight w:val="none"/>
                <w:u w:val="none"/>
                <w:lang w:val="en-US" w:eastAsia="zh-CN" w:bidi="ar"/>
              </w:rPr>
              <w:t xml:space="preserve">等</w:t>
            </w:r>
            <w:r>
              <w:rPr>
                <w:rFonts w:hint="eastAsia" w:ascii="宋体" w:hAnsi="宋体" w:eastAsia="宋体" w:cs="宋体"/>
                <w:i w:val="0"/>
                <w:iCs w:val="0"/>
                <w:color w:val="auto"/>
                <w:sz w:val="21"/>
                <w:szCs w:val="21"/>
                <w:highlight w:val="none"/>
                <w:u w:val="none"/>
                <w:lang w:val="en-US" w:eastAsia="zh-CN" w:bidi="ar"/>
              </w:rPr>
              <w:t xml:space="preserve">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25.提供书法创作常用的诗词、对联、美文和佳句内容，支持通过作者和名称对诗词进行搜索，诗词提供古体诗、乐府诗等诗词类型，对联提供四、五、七、中联、长联等字数对联，佳句提供二言、三言、四言等字数的佳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26.提供网络云备课功能，备课制作界面支持自由排版，拖拽修改页面版式，支持结果预览，提供多种讲义模板主题，支持插入软笔字帖、硬笔字帖和教学视频等在线资源，支持自定义标题、自定义文本和插入本地图片；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#27.书法在线云课堂具有云端教学资源同步更新功能，无需用户下载更新包或者U盘导入的方式进行软件升级，更新情况显示内容包括软件名称、版本号、简称、公司地址、电话号码以及系统资源更新时间。</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室</w:t>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AP1-02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教师中控台</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#1.尺寸规格：≥1800*800*780±5mm；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#2.产品材质：实木框架榫卯结构，面板为实木多层板，传统中式家具制作工艺，采用水性漆开放效果；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#3.国标插座1个；石质砚台1个；陶瓷砚台水滴1个；6挂12针红木笔架1个；黑梓木镇尺1对，长度≥250mm；100g徽墨1条；500g墨汁1瓶；6寸陶瓷笔洗1个；山形花梨木笔搁1个；竹质中号扁木笔帘1个，四边有布袋；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#4.书画专用羊毛毡1张，尺寸≥1800mm*800mm，支持；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#5.黑檀木笔筒1个，尺寸≥115mm；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#6.大中小号兼毫毛笔各1支。</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AP1-03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教师中控系统</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#1.提供按照年级、班级进行自动排座，支持自动按行、列随机或者自动排位；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#2.支持排座信息发送到学生临摹屏上，学生按照姓名</w:t>
            </w:r>
            <w:r>
              <w:rPr>
                <w:rFonts w:hint="eastAsia" w:ascii="宋体" w:hAnsi="宋体" w:cs="宋体"/>
                <w:i w:val="0"/>
                <w:iCs w:val="0"/>
                <w:color w:val="auto"/>
                <w:sz w:val="21"/>
                <w:szCs w:val="21"/>
                <w:u w:val="none"/>
                <w:lang w:val="en-US" w:eastAsia="zh-CN" w:bidi="ar"/>
              </w:rPr>
              <w:t xml:space="preserve">就座</w:t>
            </w:r>
            <w:r>
              <w:rPr>
                <w:rFonts w:hint="eastAsia" w:ascii="宋体" w:hAnsi="宋体" w:eastAsia="宋体" w:cs="宋体"/>
                <w:i w:val="0"/>
                <w:iCs w:val="0"/>
                <w:color w:val="auto"/>
                <w:sz w:val="21"/>
                <w:szCs w:val="21"/>
                <w:u w:val="none"/>
                <w:lang w:val="en-US" w:eastAsia="zh-CN" w:bidi="ar"/>
              </w:rPr>
              <w:t xml:space="preserve">，点击屏幕完成上课签到；支持自动生成学生到课考勤表；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#3.支持老师统一控制学生屏幕，切换授课模式；支持老师向学生临摹台群发消息和单发消息；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#4.支持管理学生临摹台，查看学生临摹台设备在线状态列表；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#5.支持控制学生临摹台在统一授课和自主学习两种模式进行切换；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#6.处理器主频≥2GHz，内存≥8G，硬盘≥1TB；</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#7.屏幕≥21.5寸，支持十点触控，分辨率1920*1080。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27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AP1-04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多目书画教学示范仪</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#1.具有三摄像头，1个主摄像头2个辅助摄像头，整机≤5kg；</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#2.整机一体化设计，机身整体高度≤53</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mm，底座长宽≤265*128mm，主摄像头臂杆长宽≤46</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*55mm，侧拍摄像头臂杆和主摄像头支柱夹角≤30度，侧拍摄像头可折叠臂杆长度≤260mm；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#3.整机待机电流：12V/150mA；整机负载工作电流：12V/450mA；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▲4.具备辅助照明LED，可以调整亮度；侧拍辅助摄像头采用活动机身，支持折叠，支持摄像头旋转调节拍摄位置；顶部辅助摄像头采用活动摄像头，支持0-270度任意角度旋转调整；</w:t>
            </w:r>
            <w:r>
              <w:rPr>
                <w:rStyle w:val="970"/>
                <w:rFonts w:hint="eastAsia" w:ascii="宋体" w:hAnsi="宋体" w:eastAsia="宋体" w:cs="宋体"/>
                <w:color w:val="auto"/>
                <w:sz w:val="21"/>
                <w:szCs w:val="21"/>
                <w:lang w:val="en-US" w:eastAsia="zh-CN" w:bidi="ar"/>
              </w:rPr>
              <w:t xml:space="preserve">（提供具有CMA标识的第三方检测机构出具的检测报告原件扫描件或产品白皮书或官网截图）</w:t>
            </w: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#5.主摄像头：像素≥800W；分辨率≥3264*2448；对焦方式：定焦；扫描幅面≥A3；光学解像力≥A3幅面170lp/mm；球形畸变 &lt;1.5%；梯形失真 &lt;1.5%；出图响应时间 &lt;3S；自动过曝控制；图像帧率3264×2448@15帧；图像色彩≥24位；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#6.侧拍辅助摄像头：像素≥500W；分辨率≥2592*1944；扫描幅面≥A4；光学解像力≥A4幅面170lp/mm；球形畸变 &lt;1.5%；梯形失真 &lt;1.5%；出图响应时间 &lt;1S；自动过曝控制；图像帧率2592*1944@10帧；图像色彩≥24位；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#7.顶部辅助摄像头：像素≥200W；对焦方式：定焦；球形畸变 &lt;5%；梯形失真 &lt;5%；出图响应时间 &lt;1S；图像色彩≥24位。</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AP1-05</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书法教学示范系统</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#1.支持接入多目书画教学示范仪进行书写示范教学；支持示范画面自由组合切换成画中画、双画面、单画面等格式；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#2.支持视频画面接入大屏进行示范教学；支持录制高清示范视频，录制视频可作为书法微课资源；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#3.录制视频时支持同步录制教学音频；支持截取示范视频画面为图片；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#4.系统支持屏幕任意批注功能；支持教学软件界面录制信号和多目书画教学示范仪视频信号同步采集；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.自动合成微课视频文件，提供文件管理维护功能，支持下载、上传、删除、重命名以及文件管理功能。</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182"/>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AP1-06</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学生书法桌</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#1.尺寸规格：≥1400*700*73</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#2.产品材质：实木框架榫卯结构，面板为实木多层板，传统中式家具制作工艺，采用水性漆开放效果。</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AP1-07</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书法凳</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#1.尺寸规格：≥450*350*430±5mm；凳子采用实木材质，凳子框架大料抄手榫</w:t>
            </w:r>
            <w:r>
              <w:rPr>
                <w:rFonts w:hint="eastAsia" w:ascii="宋体" w:hAnsi="宋体" w:cs="宋体"/>
                <w:i w:val="0"/>
                <w:iCs w:val="0"/>
                <w:color w:val="auto"/>
                <w:sz w:val="21"/>
                <w:szCs w:val="21"/>
                <w:u w:val="none"/>
                <w:lang w:val="en-US" w:eastAsia="zh-CN" w:bidi="ar"/>
              </w:rPr>
              <w:t xml:space="preserve">连接</w:t>
            </w:r>
            <w:r>
              <w:rPr>
                <w:rFonts w:hint="eastAsia" w:ascii="宋体" w:hAnsi="宋体" w:eastAsia="宋体" w:cs="宋体"/>
                <w:i w:val="0"/>
                <w:iCs w:val="0"/>
                <w:color w:val="auto"/>
                <w:sz w:val="21"/>
                <w:szCs w:val="21"/>
                <w:u w:val="none"/>
                <w:lang w:val="en-US" w:eastAsia="zh-CN" w:bidi="ar"/>
              </w:rPr>
              <w:t xml:space="preserve">，装板工艺；产品采用水性漆开放效果。</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AP1-08</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学生镇尺</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#1.黑梓木，长度≥180mm。</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AP1-09</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学生墨汁</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#1.墨汁180g。</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AP1-10</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学生笔搁</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#1.花梨木材质。</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AP1-11</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学生毛笔</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#1.兼毫毛笔。</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AP1-12</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学生墨盒</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#1.长方形，尺寸规格：≥134mm*76m*20mm。</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AP1-13</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临摹专用纸</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#1.半生熟临摹宣纸，100张/包。</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AP1-14</w:t>
            </w:r>
            <w:r/>
          </w:p>
        </w:tc>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环境布置</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技术参数要求同“AB1-44环境布置”</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bl>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bl>
      <w:tblPr>
        <w:tblStyle w:val="727"/>
        <w:tblW w:w="10342"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2"/>
        <w:gridCol w:w="1305"/>
        <w:gridCol w:w="6615"/>
        <w:gridCol w:w="780"/>
        <w:gridCol w:w="660"/>
      </w:tblGrid>
      <w:tr>
        <w:trPr>
          <w:trHeight w:val="567"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1034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AQ-传统书法教室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AQ1-01</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书法桌（教师）</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#1.适用范围：适用于初高中教学使用；技术要求：教师用书发桌，外观尺寸：≥1600*600*750mm，优质实木，榆木，采用榫卯结构，结实牢靠。该书画桌简洁大方，纹理通达清晰，外观鲜明光亮，仿古色。</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AQ1-02</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书法凳（教师）</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适用范围：适用于初高中教学使用；技术要求：同教师书法桌搭配使用，靠背椅，外观尺寸：≥450*500*450mm，含靠背1000mm实木，采用榫卯结构，结实牢靠。该书画椅简洁大方，纹理通达清晰，外观鲜明光亮，仿古色。</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1642"/>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AQ1-03</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书法桌（学生）</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#1.适用范围：适用于初高中教学使用；技术要求：学生用书法桌，外观尺寸：≥1400*600*750mm，实木，采用榫卯结构，结实牢靠。该书法桌简洁大方，纹理通达清晰，外观鲜明光亮，仿古色。</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AQ1-04</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书法凳（学生）</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#1.适用范围：适用于初高中教学使用；技术要求：同学生书法桌搭配使用，规格：≥300*400*420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实木框架，实木，采用榫卯结构，结实牢靠。该书法凳简洁大方，纹理通达清晰，外观鲜明光亮，仿古色。</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2495"/>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AQ1-05</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教师书法专用套装</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石质砚台1个；墨盒1个；6挂12针红木笔架1个；黑梓木镇尺1对，长度≥250mm；100g徽墨1条；500g墨汁1瓶；6寸陶瓷笔洗1个；山形花梨木笔搁1个；竹质中号扁木笔帘1个，四边有布袋；书画专用羊毛毡1张，尺寸≥1800mm*800mm，支持水洗多次使用；黑檀木笔筒1个，尺寸≥115mm*150mm；大中小号兼毫毛笔各1支。</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AQ1-06</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学生墨汁</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技术参数同“AP1-09学生墨汁”</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AQ1-07</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学生笔挂</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#1.塑钢龙头笔挂，六挂十二针。</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AQ1-08</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学生毛笔</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技术参数同“AP1-11学生毛笔”</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AQ1-09</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学生镇尺</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技术参数同“AP1-08学生镇尺”</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对</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AQ1-10</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学生墨盒</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技术参数同“AP1-12学生墨盒”</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AQ1-11</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学生书画毡</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#1.优质书画画毡，尺寸≥600*1400mm。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AQ1-12</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临摹专用纸</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技术参数同“AP1-13临摹专用纸”</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AQ1-13</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裁纸刀</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#1.血檀木裁纸刀，无木刺，23.5*1.5CM。</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把</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AQ1-14</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环境布置</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技术参数要求同“AB1-44环境布置”</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bl>
    <w:p>
      <w:pPr>
        <w:keepLines w:val="0"/>
        <w:keepNext w:val="0"/>
        <w:pageBreakBefore w:val="0"/>
        <w:spacing w:line="400" w:lineRule="exact"/>
        <w:rPr>
          <w:rFonts w:hint="eastAsia" w:ascii="宋体" w:hAnsi="宋体" w:eastAsia="宋体" w:cs="宋体"/>
          <w:color w:val="auto"/>
          <w:sz w:val="21"/>
          <w:szCs w:val="21"/>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bl>
      <w:tblPr>
        <w:tblStyle w:val="727"/>
        <w:tblW w:w="5705" w:type="pct"/>
        <w:tblInd w:w="-63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06"/>
        <w:gridCol w:w="1622"/>
        <w:gridCol w:w="5426"/>
        <w:gridCol w:w="747"/>
        <w:gridCol w:w="823"/>
      </w:tblGrid>
      <w:tr>
        <w:trPr>
          <w:trHeight w:val="567"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AR-美术教室1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AR1-01</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#1.9寸裁缝专用剪刀</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含纱剪。</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AR1-02</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水消笔（划粉）</w:t>
            </w:r>
            <w:r/>
          </w:p>
        </w:tc>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#1.划图案用的。</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AR1-03</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大板桌</w:t>
            </w:r>
            <w:r/>
          </w:p>
        </w:tc>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2400*1200mm*750mm；桌面伸缩缝工艺，外沿厚度40mm；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#2.桌面材质：橡胶木，表面环保清漆处理，金属支架，3个U型腿、钢管规格15*50mm，中间3根钢管竖称支撑，横梁钢管规格25*50mm，壁厚≥1.0mm，表黑色喷塑处理，桌架与桌面外边齐平。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AR1-04</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针线盒</w:t>
            </w:r>
            <w:r/>
          </w:p>
        </w:tc>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#1.黑胡桃木针线盒，里面有13件工具包。</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盒</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AR1-05</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380*380*430mm，材质：凳面伸缩缝工艺，边框橡胶木，中间18mm多层板贴木皮，结构：≥35*35mm直腿马蹄腿脚，四面≥20*30mm横撑连接，特点：榫卯结构，牢固结实，仿古造型，表面光滑细腻，喷涂环保清漆。</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把</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AR1-06</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布料</w:t>
            </w:r>
            <w:r/>
          </w:p>
        </w:tc>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#1.蓝印花布、棉麻布白色、藏蓝色、绿色、粉色、蓝色、粉红色；规格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60*60mm。</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AR1-07</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法式刺绣绷框台</w:t>
            </w:r>
            <w:r/>
          </w:p>
        </w:tc>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580*160*125mm，材质：榉木，特点：多功能、多部位、多角度、高度可调节，满足不同角度高度的刺绣，配两块绣布，刺绣针1根，不同颜色绣线5把，水消笔1支。</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AR1-08</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刺绣线</w:t>
            </w:r>
            <w:r/>
          </w:p>
        </w:tc>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#1.24色常规。</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AR1-09</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布料</w:t>
            </w:r>
            <w:r/>
          </w:p>
        </w:tc>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#1.白棉布，100米/匹。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匹</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AR1-10</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布艺操作台</w:t>
            </w:r>
            <w:r/>
          </w:p>
        </w:tc>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#1.操作台规格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1830*1040*750mm，材质：复合板材，三档自由升降、带收纳抽屉、带脚轮、方便折叠移动；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#2.配缝纫机：电压220V，功率：40W，缝纫机速度：850转/分钟，针迹数：50种，勾线机构：水平旋梭，自动穿线器、布牙装置、可升降、支持双针模式。</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AR1-11</w:t>
            </w:r>
            <w:r/>
          </w:p>
        </w:tc>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环境布置</w:t>
            </w:r>
            <w:r/>
          </w:p>
        </w:tc>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技术参数要求同“AB1-44环境布置”</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bl>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bl>
      <w:tblPr>
        <w:tblStyle w:val="727"/>
        <w:tblW w:w="5688" w:type="pct"/>
        <w:tblInd w:w="-63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20"/>
        <w:gridCol w:w="1295"/>
        <w:gridCol w:w="5627"/>
        <w:gridCol w:w="842"/>
        <w:gridCol w:w="911"/>
      </w:tblGrid>
      <w:tr>
        <w:trPr>
          <w:trHeight w:val="567" w:hRule="exact"/>
        </w:trPr>
        <w:tc>
          <w:tcPr>
            <w:gridSpan w:val="5"/>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AS-美术教室2</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270"/>
        </w:trPr>
        <w:tc>
          <w:tcPr>
            <w:gridSpan w:val="3"/>
            <w:shd w:val="clear" w:color="auto" w:fill="auto"/>
            <w:tcBorders>
              <w:top w:val="single" w:color="auto" w:sz="4" w:space="0"/>
              <w:left w:val="single" w:color="auto" w:sz="4" w:space="0"/>
              <w:bottom w:val="single" w:color="auto" w:sz="4" w:space="0"/>
              <w:right w:val="single" w:color="auto" w:sz="4" w:space="0"/>
            </w:tcBorders>
            <w:tcW w:w="4096" w:type="pct"/>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一、教师用具</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1459"/>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AS1-01</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画架</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#1.榉木材质，平立两用落地画架 ，可以升降，平放，倾斜（调节任意角度），还可以折叠，方便携带；产品规格：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4</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*50*135，最高可伸长至215cm ，宽度不限。带万向轮，方便在室内移动，前面两个轮子带刹车，可以锁死。</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AS1-02</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画板</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#1．规格：2#图板，外观尺寸不小于600mm×900mm×18mm；材质：双面榉木三合板，四周实木边框；要求：边框气钉眼需进行表面处理。整体板面平整、表面光滑、洁净、无毛刺。</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542"/>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AS1-03</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写生凳</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#1.规格：凳面直径不低于300mm，升降高度480到650mm；材质：榉木；要求：升降式架构，支撑稳定，牢固可靠，环保清漆处理，漆面均匀光亮。</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AS1-04</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绘画工具车</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#1.材质：榉木，长度≥740mm，宽度≥400mm，高度≥800mm，中下两层间隔高度不小于190mm，经过抛光打蜡，喷漆，防腐、防潮</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静音脚轮，可制动。</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150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AS1-05</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写生画箱</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#1.整体尺寸：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82cm×106cm×140cm；箱体：</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57cm×42cm×17（24）cm，置画高度：≥87cm；材质：红榉木，优质五金配件，电镀抗氧化能力强，不易生锈，橡胶胶带，高度和倾斜度可调整。</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68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AS1-06</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美术教学套装</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#1.水彩画颜料12ml，12色一套、水粉画颜料12ml，12色一套、油画颜料50ml，12色一套、水彩画笔1-12#各1支、24眼调色板1件、可折叠水桶1个、水彩纸160g 4K*20张、素描纸160g 4K*20张、素描纸160g 4K*20张、铅笔2B、4B、6B各一支、可塑橡皮1块、橡皮1块、辉柏嘉彩色铅笔48色。</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gridSpan w:val="3"/>
            <w:shd w:val="clear" w:color="auto" w:fill="auto"/>
            <w:tcBorders>
              <w:top w:val="single" w:color="auto" w:sz="4" w:space="0"/>
              <w:left w:val="single" w:color="auto" w:sz="4" w:space="0"/>
              <w:bottom w:val="single" w:color="auto" w:sz="4" w:space="0"/>
              <w:right w:val="single" w:color="auto" w:sz="4" w:space="0"/>
            </w:tcBorders>
            <w:tcW w:w="409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二、学生用具</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sz w:val="21"/>
                <w:szCs w:val="21"/>
                <w:u w:val="none"/>
              </w:rPr>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AS2-01</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画架</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58*60*17</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cm（最大升高到235CM），可调节高度，直尺最大画框高度：126CM；材质：榉木；梯形，可折叠，角度双重可调，画托高度升降可调，表面光滑、无毛刺、无弯曲，接缝无开裂，整体无疤痕无弯曲，表面环保烤漆处理。适用范围：中西两用。</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02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AS2-02</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画板</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600mm*450mm、双面椴木，四周实木边框，椴木木纹明显，表面光滑无毛刺，不易变形。</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AS2-03</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写生凳</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330*250*450mm</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结构</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全实木结构，传统工艺，结构牢固</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材质</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全实木制作，本色，材料经熏蒸处理，虫不蛙，不变形，不开裂。</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32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AS2-04</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绘画工具车</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#1.材质：榉木，长度≥740mm，宽度≥400mm，高度≥800mm，中下两层间隔高度不小于190mm，经过抛光打蜡，喷漆，防腐、防潮。静音脚轮，可制动。</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AS2-05</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写生画箱</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#1.整体尺寸：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82cm×106cm×140cm</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箱体：</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50cm×34cm×17（24）cm，置画高度：87cm；材质：红榉木，优质五金配件，电镀抗氧化能力强，不易生锈，橡胶胶带，高度和倾斜度可调整。</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78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AS2-06</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水粉画颜料</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#1.100ml瓶装，24色为一套。</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AS2-07</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水粉笔</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桦木笔身 握笔舒适 。</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98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AS2-08</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折叠式洗笔筒</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#1.规格：口径不小于185mm，底部直径不低于150mm，收缩后高不低于42mm，展开后高不低于180mm，顶部外侧含塑料挂笔装置，可同时放置4支画笔。</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AS2-09</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水粉纸</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#1.规格4K，厚度不低于160g，黄色本色纸，20张/包。</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8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AS2-10</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水彩颜料</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#1.24色套装</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单支容量为12ml。</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AS2-11</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水彩画笔</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 桦木笔身握笔舒适 。</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AS2-12</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水彩纸</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#1.规格4K，厚度不低于160g，黄色本色纸，10张/包。</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0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AS2-13</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调色盘</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#1.规格：直径不小于170mm，高不低于18mm，7格梅花形，材质为透明丙料。</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gridSpan w:val="3"/>
            <w:shd w:val="clear" w:color="auto" w:fill="auto"/>
            <w:tcBorders>
              <w:top w:val="single" w:color="auto" w:sz="4" w:space="0"/>
              <w:left w:val="single" w:color="auto" w:sz="4" w:space="0"/>
              <w:bottom w:val="single" w:color="auto" w:sz="4" w:space="0"/>
              <w:right w:val="single" w:color="auto" w:sz="4" w:space="0"/>
            </w:tcBorders>
            <w:tcW w:w="409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三、美术辅助器材</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130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AS3-01</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写生灯</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#1.规格：立式三节可升降、最大调节高度2400mm、照射角度0°-120°；材质：球形灯罩：金属材料，灯杆：钢管，表面镀铬，铝节、塑料旋钮，内置弹簧；要求：表面光滑、无锈斑、划痕，含LED灯泡（暖白色）。   </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AS3-02</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写生台</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600mm*900mm，最大高度120cm，台面逐级升降，可根据需求自由调节高度，可折叠台面，表面光滑无颗粒，采用榉木三合板作为台面，经打磨抛光处理，整体喷涂绿色无污染清漆，配备带锁万向轮，可防止使用过程中移动，底部储藏式抽屉空间最大化，方便放置画笔，颜料等。</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132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AS3-03</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转台</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#1.上盘面≥295mm，下盘面：d=170mm，塑钢材质，表面光滑平稳；用途：裱花首选，雕塑及工业设计，陶艺用转盘，模型</w:t>
            </w:r>
            <w:r>
              <w:rPr>
                <w:rFonts w:hint="eastAsia" w:ascii="宋体" w:hAnsi="宋体" w:cs="宋体"/>
                <w:i w:val="0"/>
                <w:iCs w:val="0"/>
                <w:color w:val="auto"/>
                <w:sz w:val="21"/>
                <w:szCs w:val="21"/>
                <w:u w:val="none"/>
                <w:lang w:val="en-US" w:eastAsia="zh-CN" w:bidi="ar"/>
              </w:rPr>
              <w:t xml:space="preserve">制作</w:t>
            </w:r>
            <w:r>
              <w:rPr>
                <w:rFonts w:hint="eastAsia" w:ascii="宋体" w:hAnsi="宋体" w:eastAsia="宋体" w:cs="宋体"/>
                <w:i w:val="0"/>
                <w:iCs w:val="0"/>
                <w:color w:val="auto"/>
                <w:sz w:val="21"/>
                <w:szCs w:val="21"/>
                <w:u w:val="none"/>
                <w:lang w:val="en-US" w:eastAsia="zh-CN" w:bidi="ar"/>
              </w:rPr>
              <w:t xml:space="preserve">和产品喷漆上色时专用工具。</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AS3-04</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木制关节人</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#1.不小于400mm。</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AS3-05</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衬布</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1000mm*2000mm，涤棉材质，各种花色。</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r>
      <w:tr>
        <w:trPr>
          <w:trHeight w:val="42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AS3-06</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写生教具1</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#1.适用于中小学美术教学使用。</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42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AS3-07</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写生教具2</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#1.适用于中小学美术教学使用。</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42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AS3-08</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静物</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#1.优质。</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42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AS3-09</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陶瓷样本</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#1.适用于中小学美术教学使用。</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AS3-10</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磁性黑板</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1200mm*800mm；书写面一面为白色钢质板面、一面为墨绿色钢质板面，表面</w:t>
            </w:r>
            <w:r>
              <w:rPr>
                <w:rFonts w:hint="eastAsia" w:ascii="宋体" w:hAnsi="宋体" w:cs="宋体"/>
                <w:i w:val="0"/>
                <w:iCs w:val="0"/>
                <w:color w:val="auto"/>
                <w:sz w:val="21"/>
                <w:szCs w:val="21"/>
                <w:u w:val="none"/>
                <w:lang w:val="en-US" w:eastAsia="zh-CN" w:bidi="ar"/>
              </w:rPr>
              <w:t xml:space="preserve">平整</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涂覆</w:t>
            </w:r>
            <w:r>
              <w:rPr>
                <w:rFonts w:hint="eastAsia" w:ascii="宋体" w:hAnsi="宋体" w:eastAsia="宋体" w:cs="宋体"/>
                <w:i w:val="0"/>
                <w:iCs w:val="0"/>
                <w:color w:val="auto"/>
                <w:sz w:val="21"/>
                <w:szCs w:val="21"/>
                <w:u w:val="none"/>
                <w:lang w:val="en-US" w:eastAsia="zh-CN" w:bidi="ar"/>
              </w:rPr>
              <w:t xml:space="preserve">层无脱落、起泡、龟裂、针孔、斑痕、凹凸不平等不良现象</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带支架。磁性黑板能方便贴学生书画作业</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利于讲评。</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AS3-11</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美术欣赏挂图</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#1.对开，铜版纸印刷，幅数不少于58幅</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挂图内容正确、层次分明、图像清晰、重点突出、色泽鲜明。</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AS3-12</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作品展示镜框</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#1.底板是中纤板</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表层为透明PVC片。</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AS3-13</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不锈钢夹子</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#1.材质：不锈钢，长度不小于145mm。</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116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AS3-14</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美术课配套材料</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#1.勾线笔4支、油画棒1个、固体胶1个、彩色水笔1支、彩泥1套、彩色铅笔4支、双面胶1个、陶泥1袋、水粉画颜料1</w:t>
            </w:r>
            <w:r>
              <w:rPr>
                <w:rFonts w:hint="eastAsia" w:ascii="宋体" w:hAnsi="宋体" w:cs="宋体"/>
                <w:i w:val="0"/>
                <w:iCs w:val="0"/>
                <w:color w:val="auto"/>
                <w:sz w:val="21"/>
                <w:szCs w:val="21"/>
                <w:u w:val="none"/>
                <w:lang w:val="en-US" w:eastAsia="zh-CN" w:bidi="ar"/>
              </w:rPr>
              <w:t xml:space="preserve">盒</w:t>
            </w:r>
            <w:r>
              <w:rPr>
                <w:rFonts w:hint="eastAsia" w:ascii="宋体" w:hAnsi="宋体" w:eastAsia="宋体" w:cs="宋体"/>
                <w:i w:val="0"/>
                <w:iCs w:val="0"/>
                <w:color w:val="auto"/>
                <w:sz w:val="21"/>
                <w:szCs w:val="21"/>
                <w:u w:val="none"/>
                <w:lang w:val="en-US" w:eastAsia="zh-CN" w:bidi="ar"/>
              </w:rPr>
              <w:t xml:space="preserve">、墨汁1瓶、中国画颜料1</w:t>
            </w:r>
            <w:r>
              <w:rPr>
                <w:rFonts w:hint="eastAsia" w:ascii="宋体" w:hAnsi="宋体" w:cs="宋体"/>
                <w:i w:val="0"/>
                <w:iCs w:val="0"/>
                <w:color w:val="auto"/>
                <w:sz w:val="21"/>
                <w:szCs w:val="21"/>
                <w:u w:val="none"/>
                <w:lang w:val="en-US" w:eastAsia="zh-CN" w:bidi="ar"/>
              </w:rPr>
              <w:t xml:space="preserve">盒</w:t>
            </w:r>
            <w:r>
              <w:rPr>
                <w:rFonts w:hint="eastAsia" w:ascii="宋体" w:hAnsi="宋体" w:eastAsia="宋体" w:cs="宋体"/>
                <w:i w:val="0"/>
                <w:iCs w:val="0"/>
                <w:color w:val="auto"/>
                <w:sz w:val="21"/>
                <w:szCs w:val="21"/>
                <w:u w:val="none"/>
                <w:lang w:val="en-US" w:eastAsia="zh-CN" w:bidi="ar"/>
              </w:rPr>
              <w:t xml:space="preserve"> 、</w:t>
            </w:r>
            <w:r>
              <w:rPr>
                <w:rFonts w:hint="eastAsia" w:ascii="宋体" w:hAnsi="宋体" w:cs="宋体"/>
                <w:i w:val="0"/>
                <w:iCs w:val="0"/>
                <w:color w:val="auto"/>
                <w:sz w:val="21"/>
                <w:szCs w:val="21"/>
                <w:u w:val="none"/>
                <w:lang w:val="en-US" w:eastAsia="zh-CN" w:bidi="ar"/>
              </w:rPr>
              <w:t xml:space="preserve">胶辊</w:t>
            </w:r>
            <w:r>
              <w:rPr>
                <w:rFonts w:hint="eastAsia" w:ascii="宋体" w:hAnsi="宋体" w:eastAsia="宋体" w:cs="宋体"/>
                <w:i w:val="0"/>
                <w:iCs w:val="0"/>
                <w:color w:val="auto"/>
                <w:sz w:val="21"/>
                <w:szCs w:val="21"/>
                <w:u w:val="none"/>
                <w:lang w:val="en-US" w:eastAsia="zh-CN" w:bidi="ar"/>
              </w:rPr>
              <w:t xml:space="preserve">1个、胶版（水溶性）1个、油墨（黑色）1瓶。</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gridSpan w:val="3"/>
            <w:shd w:val="clear" w:color="auto" w:fill="auto"/>
            <w:tcBorders>
              <w:top w:val="single" w:color="auto" w:sz="4" w:space="0"/>
              <w:left w:val="single" w:color="auto" w:sz="4" w:space="0"/>
              <w:bottom w:val="single" w:color="auto" w:sz="4" w:space="0"/>
              <w:right w:val="single" w:color="auto" w:sz="4" w:space="0"/>
            </w:tcBorders>
            <w:tcW w:w="409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四、配套用品</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150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AS4-01</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软木展板</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240*120cm；软木板经</w:t>
            </w:r>
            <w:r>
              <w:rPr>
                <w:rFonts w:hint="eastAsia" w:ascii="宋体" w:hAnsi="宋体" w:eastAsia="宋体" w:cs="宋体"/>
                <w:i w:val="0"/>
                <w:iCs w:val="0"/>
                <w:strike w:val="0"/>
                <w:color w:val="auto"/>
                <w:sz w:val="21"/>
                <w:szCs w:val="21"/>
                <w:u w:val="none"/>
                <w:lang w:val="en-US" w:eastAsia="zh-CN" w:bidi="ar"/>
              </w:rPr>
              <w:t xml:space="preserve">专用</w:t>
            </w:r>
            <w:r>
              <w:rPr>
                <w:rFonts w:hint="eastAsia" w:ascii="宋体" w:hAnsi="宋体" w:eastAsia="宋体" w:cs="宋体"/>
                <w:i w:val="0"/>
                <w:iCs w:val="0"/>
                <w:color w:val="auto"/>
                <w:sz w:val="21"/>
                <w:szCs w:val="21"/>
                <w:u w:val="none"/>
                <w:lang w:val="en-US" w:eastAsia="zh-CN" w:bidi="ar"/>
              </w:rPr>
              <w:t xml:space="preserve">胶水高压粘合密封而成，结构牢固、弹性好，耐腐蚀、耐冲击，保持板面平整，软木外层可覆彩色布，外加铝合金或木质流线装饰边框；原色为纯软木，覆布后为彩色；铝合金边框（可选喷其他颜色） 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37mm*20mm  壁厚≥1mm；</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r>
      <w:tr>
        <w:trPr>
          <w:trHeight w:val="100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AS4-02</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置物架</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1000*300*1800mm</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钢木结构；立柱采用25*25方管焊接，上面为4层设计，隔板采用≥1</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mm三聚氰胺板，颜色为柚木色，下面为小柜设计，双开门设计。</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r>
      <w:tr>
        <w:trPr>
          <w:trHeight w:val="189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AS4-03</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美术教学用品柜</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w:t>
            </w:r>
            <w:r>
              <w:rPr>
                <w:rFonts w:hint="eastAsia" w:ascii="宋体" w:hAnsi="宋体" w:cs="宋体"/>
                <w:i w:val="0"/>
                <w:iCs w:val="0"/>
                <w:color w:val="auto"/>
                <w:sz w:val="21"/>
                <w:szCs w:val="21"/>
                <w:u w:val="none"/>
                <w:lang w:val="en-US" w:eastAsia="zh-CN" w:bidi="ar"/>
              </w:rPr>
              <w:t xml:space="preserve">约</w:t>
            </w:r>
            <w:r>
              <w:rPr>
                <w:rFonts w:hint="eastAsia" w:ascii="宋体" w:hAnsi="宋体" w:eastAsia="宋体" w:cs="宋体"/>
                <w:i w:val="0"/>
                <w:iCs w:val="0"/>
                <w:color w:val="auto"/>
                <w:sz w:val="21"/>
                <w:szCs w:val="21"/>
                <w:u w:val="none"/>
                <w:lang w:val="en-US" w:eastAsia="zh-CN" w:bidi="ar"/>
              </w:rPr>
              <w:t xml:space="preserve">1000*500*2000mm，铝木结构，采用结构为内槽式铝合金框架结构，立柱及横档 38*38*1mm、38*28*1mm和ABS连接件组装而成；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#2.表面经酸洗、磷化、环氧树脂高温固化处理具有耐腐蚀、耐高温等特点；柜身材料采用≥1</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mm厚E1级双贴三聚氰胺板；板材所有截面均经全自动封边机封边处理，封边所用边条均为≥2mm厚PVC封边条</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所用热熔胶为优质热熔胶；一次成型，结合紧密，密封性好。选用优质ABS工程注塑加固角连接，不变形、外形美观、经久耐用。结构</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仪器橱分为上下两部分，上部为5mm厚浮化玻璃板上部分为推拉玻璃透视门，下部为板式对开门。</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26"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AS4-04</w:t>
            </w:r>
            <w:r/>
          </w:p>
        </w:tc>
        <w:tc>
          <w:tcPr>
            <w:shd w:val="clear" w:color="auto" w:fill="auto"/>
            <w:tcBorders>
              <w:top w:val="single" w:color="auto" w:sz="4" w:space="0"/>
              <w:left w:val="single" w:color="auto" w:sz="4" w:space="0"/>
              <w:bottom w:val="single" w:color="auto" w:sz="4" w:space="0"/>
              <w:right w:val="single" w:color="auto" w:sz="4" w:space="0"/>
            </w:tcBorders>
            <w:tcW w:w="6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环境布置</w:t>
            </w:r>
            <w:r/>
          </w:p>
        </w:tc>
        <w:tc>
          <w:tcPr>
            <w:shd w:val="clear" w:color="auto" w:fill="auto"/>
            <w:tcBorders>
              <w:top w:val="single" w:color="auto" w:sz="4" w:space="0"/>
              <w:left w:val="single" w:color="auto" w:sz="4" w:space="0"/>
              <w:bottom w:val="single" w:color="auto" w:sz="4" w:space="0"/>
              <w:right w:val="single" w:color="auto" w:sz="4" w:space="0"/>
            </w:tcBorders>
            <w:tcW w:w="2902"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技术参数要求同“AB1-44环境布置”</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bl>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bl>
      <w:tblPr>
        <w:tblStyle w:val="727"/>
        <w:tblW w:w="5698" w:type="pct"/>
        <w:tblInd w:w="-64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96"/>
        <w:gridCol w:w="1325"/>
        <w:gridCol w:w="5610"/>
        <w:gridCol w:w="866"/>
        <w:gridCol w:w="915"/>
      </w:tblGrid>
      <w:tr>
        <w:trPr>
          <w:trHeight w:val="567" w:hRule="exact"/>
        </w:trPr>
        <w:tc>
          <w:tcPr>
            <w:gridSpan w:val="5"/>
            <w:shd w:val="clear" w:color="auto" w:fill="auto"/>
            <w:tcBorders>
              <w:top w:val="single" w:color="000000" w:sz="4" w:space="0"/>
              <w:left w:val="single" w:color="000000" w:sz="4" w:space="0"/>
              <w:bottom w:val="single" w:color="auto" w:sz="4" w:space="0"/>
              <w:right w:val="single" w:color="000000" w:sz="4" w:space="0"/>
            </w:tcBorders>
            <w:tcW w:w="500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AT-美术教室3</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技术参数要求</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AT1-01</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教师书画桌</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#1.规格：≥1800*800*760mm，材质：实木，桌面伸缩缝工艺，外沿厚40mm，桌面下有2个横撑支撑；结构：≥70*70mm直腿马蹄腿脚，桌斗高度100mm。特点：榫卯结构，牢固结实，牙板雕花，表面光滑细腻，喷涂环保清漆。</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AT1-02</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教师书画椅</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#1.规格：≥540*440*820mm，坐高380mm，靠背弧形圈设计，材质：实木；特点：榫卯结构，牢固结实，表面光滑细腻，喷涂环保清漆。</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把</w:t>
            </w:r>
            <w:r/>
          </w:p>
        </w:tc>
      </w:tr>
      <w:tr>
        <w:trPr>
          <w:trHeight w:val="162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AT1-03</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学生书画桌</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#1.规格：≥1400*600*760mm，材质：桌面伸缩缝工艺，外沿厚35mm，桌面下有1个60*35mm横撑支撑。结构：≥60*60mm直腿马蹄腿脚，特点：榫卯结构，结实牢固，牙板雕花，表面光滑细腻，喷涂环保清漆。</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AT1-04</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学生书画凳</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380*380*430mm，材质：凳面伸缩缝工艺，边框橡胶木，中间18mm多层板贴木皮，结构：≥35*35mm直腿马蹄腿脚，四面≥20*30mm横撑连接，特点：榫卯结构，牢固结实，仿古造型，表面光滑细腻，喷涂环保清漆。</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把</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AT1-05</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展示架</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w:t>
            </w:r>
            <w:r>
              <w:rPr>
                <w:rFonts w:hint="eastAsia" w:ascii="宋体" w:hAnsi="宋体" w:cs="宋体"/>
                <w:i w:val="0"/>
                <w:iCs w:val="0"/>
                <w:color w:val="auto"/>
                <w:sz w:val="21"/>
                <w:szCs w:val="21"/>
                <w:u w:val="none"/>
                <w:lang w:val="en-US" w:eastAsia="zh-CN" w:bidi="ar"/>
              </w:rPr>
              <w:t xml:space="preserve">多</w:t>
            </w:r>
            <w:r>
              <w:rPr>
                <w:rFonts w:hint="eastAsia" w:ascii="宋体" w:hAnsi="宋体" w:eastAsia="宋体" w:cs="宋体"/>
                <w:i w:val="0"/>
                <w:iCs w:val="0"/>
                <w:color w:val="auto"/>
                <w:sz w:val="21"/>
                <w:szCs w:val="21"/>
                <w:u w:val="none"/>
                <w:lang w:val="en-US" w:eastAsia="zh-CN" w:bidi="ar"/>
              </w:rPr>
              <w:t xml:space="preserve">种造型可选，单个规格≥1000*300*2000mm。材质：实木，四根立柱规格≥35*35mm，柜门尺寸≥460*460mm，隔板边框18mm，隔板厚度5mm；特点：仿古造型，上部多宝阁，展示作品，下部实木对开门，可以存放物品，榫卯结构，牢固结实，表面光滑细腻，喷涂环保清漆，可以自由组合。</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AT1-06</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画毡</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#1.规格：≥1800*800*5mm，材质：材质：混纺。</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AT1-07</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画毡</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#1.规格：≥1400*600*5mm，材质：混纺。</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AT1-08</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展示画框</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#1.规格：≥33*33cm边框2.2*2.8cm</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原木色，配背板，有机玻璃，挂钩</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AT1-09</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展示画框</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#1.规格：≥68*45cm边框2.2*2.8cm</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原木色，配背板，有机玻璃，挂钩。</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AT1-10</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国画和书法工具</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#1.毛笔8支、画毡1块、调色盘1块、砚台1个、笔洗1个、笔架1个、镇尺1付、笔帘1个、墨1块、印盒1个、墨汁1瓶≥100ml，中空吹塑定位包装箱。</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57</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AT1-11</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宣纸</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#1.规格：33*33cm、卡宣，100张/刀。</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刀</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AT1-12</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宣纸</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#1.规格：68*45cm、卡宣，100张/刀。</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刀</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AT1-13</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国画颜料</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#1.12色，12ml。</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57</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AT1-14</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墨汁</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#1.规格：250ml/瓶，颜色：黑、白。</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57</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瓶</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AT1-15</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拷贝台</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#1.透图面A3，规格：≥520*320mm、柔性亚克力，LED光源，工作电压：USB-5V</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1A，功率：5W，导光方式：LED全反射，3档调光，带刻度，USB插头，可接电脑、充电宝和电源。</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AT1-16</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窗帘</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#1.现代款式，带山水图案。油画布材质。</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AT1-17</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轨道展示架</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#1.尺寸≥1.5m，滑动轨道，铝合金材质，带金属挂钩。</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AT1-18</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磁性毛毡墙</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#1.规格：≥1000*2000mm*25mm，材质：磁性毛毡板、木质底板，四周25*25mm实木边框包边，不会变形、不会鼓，磁性强，配金属磁扣6个，用于书法、美术作品展示。</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块</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513" w:type="pct"/>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AT1-19</w:t>
            </w:r>
            <w:r/>
          </w:p>
        </w:tc>
        <w:tc>
          <w:tcPr>
            <w:shd w:val="clear" w:color="auto" w:fill="auto"/>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环境布置</w:t>
            </w:r>
            <w:r/>
          </w:p>
        </w:tc>
        <w:tc>
          <w:tcPr>
            <w:shd w:val="clear" w:color="auto" w:fill="auto"/>
            <w:tcBorders>
              <w:top w:val="single" w:color="auto" w:sz="4" w:space="0"/>
              <w:left w:val="single" w:color="auto" w:sz="4" w:space="0"/>
              <w:bottom w:val="single" w:color="auto" w:sz="4" w:space="0"/>
              <w:right w:val="single" w:color="auto" w:sz="4" w:space="0"/>
            </w:tcBorders>
            <w:tcW w:w="2888"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技术参数要求同“AB1-44环境布置”</w:t>
            </w:r>
            <w:r/>
          </w:p>
        </w:tc>
        <w:tc>
          <w:tcPr>
            <w:shd w:val="clear" w:color="auto" w:fill="auto"/>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r>
    </w:tbl>
    <w:p>
      <w:pPr>
        <w:keepLines w:val="0"/>
        <w:keepNext w:val="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numPr>
          <w:ilvl w:val="0"/>
          <w:numId w:val="0"/>
        </w:numPr>
        <w:ind w:right="0"/>
        <w:keepLines w:val="0"/>
        <w:keepNext w:val="0"/>
        <w:pageBreakBefore w:val="0"/>
        <w:spacing w:beforeAutospacing="0" w:afterAutospacing="0" w:line="400" w:lineRule="exact"/>
        <w:rPr>
          <w:rFonts w:hint="eastAsia" w:ascii="宋体" w:hAnsi="宋体" w:eastAsia="宋体" w:cs="宋体"/>
          <w:b w:val="0"/>
          <w:bCs/>
          <w:color w:val="auto"/>
          <w:sz w:val="21"/>
          <w:szCs w:val="21"/>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val="0"/>
          <w:bCs/>
          <w:color w:val="auto"/>
          <w:sz w:val="21"/>
          <w:szCs w:val="21"/>
          <w:highlight w:val="none"/>
          <w:lang w:val="en-US" w:eastAsia="zh-CN"/>
        </w:rPr>
      </w:r>
      <w:r/>
    </w:p>
    <w:p>
      <w:pPr>
        <w:numPr>
          <w:ilvl w:val="0"/>
          <w:numId w:val="0"/>
        </w:numPr>
        <w:ind w:right="0"/>
        <w:spacing w:beforeAutospacing="0" w:afterAutospacing="0" w:line="440" w:lineRule="exact"/>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（二）核心产品</w:t>
      </w:r>
      <w:r/>
    </w:p>
    <w:p>
      <w:pPr>
        <w:pStyle w:val="753"/>
        <w:ind w:firstLine="468"/>
        <w:rPr>
          <w:rFonts w:hint="default" w:cs="宋体"/>
          <w:b w:val="0"/>
          <w:bCs/>
          <w:color w:val="auto"/>
          <w:sz w:val="24"/>
          <w:szCs w:val="24"/>
          <w:highlight w:val="none"/>
          <w:lang w:val="en-US" w:eastAsia="zh-CN"/>
        </w:rPr>
      </w:pPr>
      <w:r>
        <w:rPr>
          <w:rFonts w:hint="eastAsia" w:cs="宋体"/>
          <w:b w:val="0"/>
          <w:bCs/>
          <w:color w:val="auto"/>
          <w:sz w:val="24"/>
          <w:szCs w:val="24"/>
          <w:highlight w:val="none"/>
          <w:lang w:val="en-US" w:eastAsia="zh-CN"/>
        </w:rPr>
        <w:t xml:space="preserve">1.采购包1核心产品为：A1-01教师演讲台；A1-03 实验桌；</w:t>
      </w:r>
      <w:r/>
    </w:p>
    <w:p>
      <w:pPr>
        <w:pStyle w:val="753"/>
        <w:ind w:firstLine="468"/>
        <w:rPr>
          <w:rFonts w:hint="default" w:ascii="宋体" w:hAnsi="宋体" w:eastAsia="宋体" w:cs="宋体"/>
          <w:color w:val="auto"/>
          <w:sz w:val="24"/>
          <w:szCs w:val="24"/>
          <w:highlight w:val="none"/>
          <w:lang w:val="en-US" w:eastAsia="zh-CN" w:bidi="ar-SA"/>
        </w:rPr>
      </w:pPr>
      <w:r>
        <w:rPr>
          <w:rFonts w:hint="eastAsia" w:cs="宋体"/>
          <w:b w:val="0"/>
          <w:bCs/>
          <w:color w:val="auto"/>
          <w:sz w:val="24"/>
          <w:szCs w:val="24"/>
          <w:highlight w:val="none"/>
          <w:lang w:val="en-US" w:eastAsia="zh-CN"/>
        </w:rPr>
        <w:t xml:space="preserve">2.采购包2核心产品为：AP1-06 学生书法桌。</w:t>
      </w:r>
      <w:r/>
    </w:p>
    <w:p>
      <w:pPr>
        <w:numPr>
          <w:ilvl w:val="0"/>
          <w:numId w:val="0"/>
        </w:num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《采购清单及技术参数要求》技术参数说明如下：</w:t>
      </w:r>
      <w:r/>
    </w:p>
    <w:p>
      <w:pPr>
        <w:numPr>
          <w:ilvl w:val="0"/>
          <w:numId w:val="0"/>
        </w:numPr>
        <w:ind w:left="0" w:right="0" w:firstLine="480"/>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采购清单中设备名称前标有“●”的为核心产品，不同</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核心产品标的品牌相同按同品牌投标人处理</w:t>
      </w:r>
      <w:r>
        <w:rPr>
          <w:rFonts w:hint="eastAsia" w:ascii="宋体" w:hAnsi="宋体" w:eastAsia="宋体" w:cs="宋体"/>
          <w:color w:val="auto"/>
          <w:sz w:val="24"/>
          <w:szCs w:val="24"/>
          <w:highlight w:val="none"/>
          <w:lang w:eastAsia="zh-CN"/>
        </w:rPr>
        <w:t xml:space="preserve">。</w:t>
      </w:r>
      <w:r/>
    </w:p>
    <w:p>
      <w:pPr>
        <w:numPr>
          <w:ilvl w:val="0"/>
          <w:numId w:val="0"/>
        </w:numPr>
        <w:ind w:left="0" w:right="0" w:firstLine="560"/>
        <w:spacing w:beforeAutospacing="0" w:afterAutospacing="0" w:line="440" w:lineRule="exact"/>
        <w:rPr>
          <w:rFonts w:hint="eastAsia" w:ascii="宋体" w:hAnsi="宋体" w:eastAsia="宋体" w:cs="宋体"/>
          <w:b w:val="0"/>
          <w:bCs w:val="0"/>
          <w:color w:val="auto"/>
          <w:sz w:val="24"/>
          <w:szCs w:val="24"/>
          <w:highlight w:val="none"/>
          <w:lang w:eastAsia="zh-CN"/>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标注“▲”号标记的技术参数为重要技术参数，须按招标文件指定要求提供证明材料</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未提供视为</w:t>
      </w:r>
      <w:r>
        <w:rPr>
          <w:rFonts w:hint="eastAsia" w:ascii="宋体" w:hAnsi="宋体" w:cs="宋体"/>
          <w:b w:val="0"/>
          <w:bCs w:val="0"/>
          <w:color w:val="auto"/>
          <w:sz w:val="24"/>
          <w:szCs w:val="24"/>
          <w:highlight w:val="none"/>
          <w:lang w:val="en-US" w:eastAsia="zh-CN"/>
        </w:rPr>
        <w:t xml:space="preserve">负偏离</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 </w:t>
      </w:r>
      <w:r/>
    </w:p>
    <w:p>
      <w:pPr>
        <w:numPr>
          <w:ilvl w:val="0"/>
          <w:numId w:val="0"/>
        </w:numPr>
        <w:ind w:left="0" w:right="0" w:firstLine="48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.标注“＃”号标记的技术参数为一般技术参数，投标人须详尽真实</w:t>
      </w:r>
      <w:r>
        <w:rPr>
          <w:rFonts w:hint="eastAsia" w:ascii="宋体" w:hAnsi="宋体" w:cs="宋体"/>
          <w:color w:val="auto"/>
          <w:sz w:val="24"/>
          <w:szCs w:val="24"/>
          <w:highlight w:val="none"/>
          <w:lang w:val="en-US" w:eastAsia="zh-CN"/>
        </w:rPr>
        <w:t xml:space="preserve">地</w:t>
      </w:r>
      <w:r>
        <w:rPr>
          <w:rFonts w:hint="eastAsia" w:ascii="宋体" w:hAnsi="宋体" w:eastAsia="宋体" w:cs="宋体"/>
          <w:color w:val="auto"/>
          <w:sz w:val="24"/>
          <w:szCs w:val="24"/>
          <w:highlight w:val="none"/>
          <w:lang w:val="en-US" w:eastAsia="zh-CN"/>
        </w:rPr>
        <w:t xml:space="preserve">在《技术要求响应及偏离表》内逐条响应，且在《技术要求响应及偏离表》内详尽</w:t>
      </w:r>
      <w:r>
        <w:rPr>
          <w:rFonts w:hint="eastAsia" w:ascii="宋体" w:hAnsi="宋体" w:cs="宋体"/>
          <w:color w:val="auto"/>
          <w:sz w:val="24"/>
          <w:szCs w:val="24"/>
          <w:highlight w:val="none"/>
          <w:lang w:val="en-US" w:eastAsia="zh-CN"/>
        </w:rPr>
        <w:t xml:space="preserve">真实地</w:t>
      </w:r>
      <w:r>
        <w:rPr>
          <w:rFonts w:hint="eastAsia" w:ascii="宋体" w:hAnsi="宋体" w:eastAsia="宋体" w:cs="宋体"/>
          <w:color w:val="auto"/>
          <w:sz w:val="24"/>
          <w:szCs w:val="24"/>
          <w:highlight w:val="none"/>
          <w:lang w:val="en-US" w:eastAsia="zh-CN"/>
        </w:rPr>
        <w:t xml:space="preserve">列明“超出、符合或偏离”情况，否则将视为</w:t>
      </w:r>
      <w:r>
        <w:rPr>
          <w:rFonts w:hint="eastAsia" w:ascii="宋体" w:hAnsi="宋体" w:cs="宋体"/>
          <w:color w:val="auto"/>
          <w:sz w:val="24"/>
          <w:szCs w:val="24"/>
          <w:highlight w:val="none"/>
          <w:lang w:val="en-US" w:eastAsia="zh-CN"/>
        </w:rPr>
        <w:t xml:space="preserve">负偏离</w:t>
      </w:r>
      <w:r>
        <w:rPr>
          <w:rFonts w:hint="eastAsia" w:ascii="宋体" w:hAnsi="宋体" w:eastAsia="宋体" w:cs="宋体"/>
          <w:color w:val="auto"/>
          <w:sz w:val="24"/>
          <w:szCs w:val="24"/>
          <w:highlight w:val="none"/>
          <w:lang w:val="en-US" w:eastAsia="zh-CN"/>
        </w:rPr>
        <w:t xml:space="preserve">。</w:t>
      </w:r>
      <w:r/>
    </w:p>
    <w:p>
      <w:pPr>
        <w:numPr>
          <w:ilvl w:val="0"/>
          <w:numId w:val="0"/>
        </w:numPr>
        <w:ind w:left="0" w:right="0" w:firstLine="480"/>
        <w:spacing w:beforeAutospacing="0" w:afterAutospacing="0" w:line="440" w:lineRule="exact"/>
        <w:rPr>
          <w:rFonts w:ascii="Times New Roman" w:hAnsi="Times New Roman" w:eastAsia="宋体" w:cs="Times New Roman"/>
          <w:b/>
          <w:bCs/>
          <w:i w:val="0"/>
          <w:iCs w:val="0"/>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ascii="Times New Roman" w:hAnsi="Times New Roman" w:eastAsia="宋体" w:cs="Times New Roman"/>
          <w:b/>
          <w:bCs/>
          <w:i w:val="0"/>
          <w:iCs w:val="0"/>
          <w:color w:val="auto"/>
          <w:sz w:val="24"/>
          <w:szCs w:val="24"/>
          <w:highlight w:val="none"/>
        </w:rPr>
        <w:t xml:space="preserve">除</w:t>
      </w:r>
      <w:r>
        <w:rPr>
          <w:rFonts w:hint="eastAsia" w:eastAsia="宋体" w:cs="Times New Roman"/>
          <w:b/>
          <w:bCs/>
          <w:i w:val="0"/>
          <w:iCs w:val="0"/>
          <w:color w:val="auto"/>
          <w:sz w:val="24"/>
          <w:szCs w:val="24"/>
          <w:highlight w:val="none"/>
          <w:lang w:eastAsia="zh-CN"/>
        </w:rPr>
        <w:t xml:space="preserve">“</w:t>
      </w:r>
      <w:r>
        <w:rPr>
          <w:rFonts w:ascii="Times New Roman" w:hAnsi="Times New Roman" w:eastAsia="宋体" w:cs="Times New Roman"/>
          <w:b/>
          <w:bCs/>
          <w:i w:val="0"/>
          <w:iCs w:val="0"/>
          <w:color w:val="auto"/>
          <w:sz w:val="24"/>
          <w:szCs w:val="24"/>
          <w:highlight w:val="none"/>
        </w:rPr>
        <w:t xml:space="preserve">辅助材料（含以施工为主的条目</w:t>
      </w:r>
      <w:r>
        <w:rPr>
          <w:rFonts w:hint="eastAsia" w:ascii="Times New Roman" w:hAnsi="Times New Roman" w:eastAsia="宋体" w:cs="Times New Roman"/>
          <w:b/>
          <w:bCs/>
          <w:i w:val="0"/>
          <w:iCs w:val="0"/>
          <w:color w:val="auto"/>
          <w:sz w:val="24"/>
          <w:szCs w:val="24"/>
          <w:highlight w:val="none"/>
          <w:lang w:val="en-US" w:eastAsia="zh-CN"/>
        </w:rPr>
        <w:t xml:space="preserve">中的辅材</w:t>
      </w:r>
      <w:r>
        <w:rPr>
          <w:rFonts w:ascii="Times New Roman" w:hAnsi="Times New Roman" w:eastAsia="宋体" w:cs="Times New Roman"/>
          <w:b/>
          <w:bCs/>
          <w:i w:val="0"/>
          <w:iCs w:val="0"/>
          <w:color w:val="auto"/>
          <w:sz w:val="24"/>
          <w:szCs w:val="24"/>
          <w:highlight w:val="none"/>
          <w:lang w:eastAsia="zh-CN"/>
        </w:rPr>
        <w:t xml:space="preserve">）</w:t>
      </w:r>
      <w:r>
        <w:rPr>
          <w:rFonts w:ascii="Times New Roman" w:hAnsi="Times New Roman" w:eastAsia="宋体" w:cs="Times New Roman"/>
          <w:b/>
          <w:bCs/>
          <w:i w:val="0"/>
          <w:iCs w:val="0"/>
          <w:color w:val="auto"/>
          <w:sz w:val="24"/>
          <w:szCs w:val="24"/>
          <w:highlight w:val="none"/>
          <w:lang w:val="en-US" w:eastAsia="zh-CN"/>
        </w:rPr>
        <w:t xml:space="preserve">、</w:t>
      </w:r>
      <w:r>
        <w:rPr>
          <w:rFonts w:hint="eastAsia" w:ascii="Times New Roman" w:hAnsi="Times New Roman" w:cs="Times New Roman"/>
          <w:b/>
          <w:bCs/>
          <w:i w:val="0"/>
          <w:iCs w:val="0"/>
          <w:color w:val="auto"/>
          <w:sz w:val="24"/>
          <w:szCs w:val="24"/>
          <w:highlight w:val="none"/>
          <w:lang w:val="en-US" w:eastAsia="zh-CN"/>
        </w:rPr>
        <w:t xml:space="preserve">A5-01文宣装修、A3-17系统安装辅件、C3-17系统安装辅件、C4-10文宣装修、F1-09安装材料、K-09综合布线、K-10电源布线、L-17环境布置、M-12安装辅件、AB1-44环境布置、AC1-04室内地上给排水安装、AO6-06绿植、AO10-02文化墙</w:t>
      </w:r>
      <w:r>
        <w:rPr>
          <w:rFonts w:ascii="Times New Roman" w:hAnsi="Times New Roman" w:eastAsia="宋体" w:cs="Times New Roman"/>
          <w:b/>
          <w:bCs/>
          <w:i w:val="0"/>
          <w:iCs w:val="0"/>
          <w:color w:val="auto"/>
          <w:sz w:val="24"/>
          <w:szCs w:val="24"/>
          <w:highlight w:val="none"/>
          <w:lang w:val="en-US" w:eastAsia="zh-CN"/>
        </w:rPr>
        <w:t xml:space="preserve">和技术参数</w:t>
      </w:r>
      <w:r>
        <w:rPr>
          <w:rFonts w:ascii="Times New Roman" w:hAnsi="Times New Roman" w:eastAsia="宋体" w:cs="Times New Roman"/>
          <w:b/>
          <w:bCs/>
          <w:i w:val="0"/>
          <w:iCs w:val="0"/>
          <w:color w:val="auto"/>
          <w:sz w:val="24"/>
          <w:szCs w:val="24"/>
          <w:highlight w:val="none"/>
        </w:rPr>
        <w:t xml:space="preserve">标明为定制的货物</w:t>
      </w:r>
      <w:r>
        <w:rPr>
          <w:rFonts w:ascii="Times New Roman" w:hAnsi="Times New Roman" w:eastAsia="宋体" w:cs="Times New Roman"/>
          <w:b/>
          <w:bCs/>
          <w:i w:val="0"/>
          <w:iCs w:val="0"/>
          <w:color w:val="auto"/>
          <w:sz w:val="24"/>
          <w:szCs w:val="24"/>
          <w:highlight w:val="none"/>
          <w:lang w:eastAsia="zh-CN"/>
        </w:rPr>
        <w:t xml:space="preserve">、</w:t>
      </w:r>
      <w:r>
        <w:rPr>
          <w:rFonts w:ascii="Times New Roman" w:hAnsi="Times New Roman" w:eastAsia="宋体" w:cs="Times New Roman"/>
          <w:b/>
          <w:bCs/>
          <w:i w:val="0"/>
          <w:iCs w:val="0"/>
          <w:color w:val="auto"/>
          <w:sz w:val="24"/>
          <w:szCs w:val="24"/>
          <w:highlight w:val="none"/>
          <w:lang w:val="en-US" w:eastAsia="zh-CN"/>
        </w:rPr>
        <w:t xml:space="preserve">仪器和器材</w:t>
      </w:r>
      <w:r>
        <w:rPr>
          <w:rFonts w:ascii="Times New Roman" w:hAnsi="Times New Roman" w:eastAsia="宋体" w:cs="Times New Roman"/>
          <w:b/>
          <w:bCs/>
          <w:i w:val="0"/>
          <w:iCs w:val="0"/>
          <w:color w:val="auto"/>
          <w:sz w:val="24"/>
          <w:szCs w:val="24"/>
          <w:highlight w:val="none"/>
        </w:rPr>
        <w:t xml:space="preserve">之外的其它应该标明品牌和型号的</w:t>
      </w:r>
      <w:r>
        <w:rPr>
          <w:rFonts w:ascii="Times New Roman" w:hAnsi="Times New Roman" w:eastAsia="宋体" w:cs="Times New Roman"/>
          <w:b/>
          <w:bCs/>
          <w:i w:val="0"/>
          <w:iCs w:val="0"/>
          <w:color w:val="auto"/>
          <w:sz w:val="24"/>
          <w:szCs w:val="24"/>
          <w:highlight w:val="none"/>
          <w:lang w:val="en-US" w:eastAsia="zh-CN"/>
        </w:rPr>
        <w:t xml:space="preserve">产品</w:t>
      </w:r>
      <w:r>
        <w:rPr>
          <w:rFonts w:ascii="Times New Roman" w:hAnsi="Times New Roman" w:eastAsia="宋体" w:cs="Times New Roman"/>
          <w:b/>
          <w:bCs/>
          <w:i w:val="0"/>
          <w:iCs w:val="0"/>
          <w:color w:val="auto"/>
          <w:sz w:val="24"/>
          <w:szCs w:val="24"/>
          <w:highlight w:val="none"/>
          <w:lang w:eastAsia="zh-CN"/>
        </w:rPr>
        <w:t xml:space="preserve">、</w:t>
      </w:r>
      <w:r>
        <w:rPr>
          <w:rFonts w:ascii="Times New Roman" w:hAnsi="Times New Roman" w:eastAsia="宋体" w:cs="Times New Roman"/>
          <w:b/>
          <w:bCs/>
          <w:i w:val="0"/>
          <w:iCs w:val="0"/>
          <w:color w:val="auto"/>
          <w:sz w:val="24"/>
          <w:szCs w:val="24"/>
          <w:highlight w:val="none"/>
          <w:lang w:val="en-US" w:eastAsia="zh-CN"/>
        </w:rPr>
        <w:t xml:space="preserve">仪器和器材</w:t>
      </w:r>
      <w:r>
        <w:rPr>
          <w:rFonts w:hint="eastAsia" w:eastAsia="宋体" w:cs="Times New Roman"/>
          <w:b/>
          <w:bCs/>
          <w:i w:val="0"/>
          <w:iCs w:val="0"/>
          <w:color w:val="auto"/>
          <w:sz w:val="24"/>
          <w:szCs w:val="24"/>
          <w:highlight w:val="none"/>
          <w:lang w:val="en-US" w:eastAsia="zh-CN"/>
        </w:rPr>
        <w:t xml:space="preserve">”</w:t>
      </w:r>
      <w:r>
        <w:rPr>
          <w:rFonts w:ascii="Times New Roman" w:hAnsi="Times New Roman" w:eastAsia="宋体" w:cs="Times New Roman"/>
          <w:b/>
          <w:bCs/>
          <w:i w:val="0"/>
          <w:iCs w:val="0"/>
          <w:color w:val="auto"/>
          <w:sz w:val="24"/>
          <w:szCs w:val="24"/>
          <w:highlight w:val="none"/>
        </w:rPr>
        <w:t xml:space="preserve">，</w:t>
      </w:r>
      <w:r>
        <w:rPr>
          <w:rFonts w:hint="eastAsia" w:eastAsia="宋体" w:cs="Times New Roman"/>
          <w:b/>
          <w:bCs/>
          <w:i w:val="0"/>
          <w:iCs w:val="0"/>
          <w:color w:val="auto"/>
          <w:sz w:val="24"/>
          <w:szCs w:val="24"/>
          <w:highlight w:val="none"/>
          <w:lang w:val="en-US" w:eastAsia="zh-CN"/>
        </w:rPr>
        <w:t xml:space="preserve">投标人</w:t>
      </w:r>
      <w:r>
        <w:rPr>
          <w:rFonts w:ascii="Times New Roman" w:hAnsi="Times New Roman" w:eastAsia="宋体" w:cs="Times New Roman"/>
          <w:b/>
          <w:bCs/>
          <w:i w:val="0"/>
          <w:iCs w:val="0"/>
          <w:color w:val="auto"/>
          <w:sz w:val="24"/>
          <w:szCs w:val="24"/>
          <w:highlight w:val="none"/>
        </w:rPr>
        <w:t xml:space="preserve">在投标文件中必须标明</w:t>
      </w:r>
      <w:r>
        <w:rPr>
          <w:rFonts w:ascii="Times New Roman" w:hAnsi="Times New Roman" w:eastAsia="宋体" w:cs="Times New Roman"/>
          <w:b/>
          <w:bCs/>
          <w:i w:val="0"/>
          <w:iCs w:val="0"/>
          <w:color w:val="auto"/>
          <w:sz w:val="24"/>
          <w:szCs w:val="24"/>
          <w:highlight w:val="none"/>
          <w:lang w:val="en-US" w:eastAsia="zh-CN"/>
        </w:rPr>
        <w:t xml:space="preserve">产品</w:t>
      </w:r>
      <w:r>
        <w:rPr>
          <w:rFonts w:ascii="Times New Roman" w:hAnsi="Times New Roman" w:eastAsia="宋体" w:cs="Times New Roman"/>
          <w:b/>
          <w:bCs/>
          <w:i w:val="0"/>
          <w:iCs w:val="0"/>
          <w:color w:val="auto"/>
          <w:sz w:val="24"/>
          <w:szCs w:val="24"/>
          <w:highlight w:val="none"/>
          <w:lang w:eastAsia="zh-CN"/>
        </w:rPr>
        <w:t xml:space="preserve">、</w:t>
      </w:r>
      <w:r>
        <w:rPr>
          <w:rFonts w:ascii="Times New Roman" w:hAnsi="Times New Roman" w:eastAsia="宋体" w:cs="Times New Roman"/>
          <w:b/>
          <w:bCs/>
          <w:i w:val="0"/>
          <w:iCs w:val="0"/>
          <w:color w:val="auto"/>
          <w:sz w:val="24"/>
          <w:szCs w:val="24"/>
          <w:highlight w:val="none"/>
          <w:lang w:val="en-US" w:eastAsia="zh-CN"/>
        </w:rPr>
        <w:t xml:space="preserve">仪器和器材</w:t>
      </w:r>
      <w:r>
        <w:rPr>
          <w:rFonts w:ascii="Times New Roman" w:hAnsi="Times New Roman" w:eastAsia="宋体" w:cs="Times New Roman"/>
          <w:b/>
          <w:bCs/>
          <w:i w:val="0"/>
          <w:iCs w:val="0"/>
          <w:color w:val="auto"/>
          <w:sz w:val="24"/>
          <w:szCs w:val="24"/>
          <w:highlight w:val="none"/>
        </w:rPr>
        <w:t xml:space="preserve">的品牌、型号，否则作无效</w:t>
      </w:r>
      <w:r>
        <w:rPr>
          <w:rFonts w:hint="eastAsia" w:eastAsia="宋体" w:cs="Times New Roman"/>
          <w:b/>
          <w:bCs/>
          <w:i w:val="0"/>
          <w:iCs w:val="0"/>
          <w:color w:val="auto"/>
          <w:sz w:val="24"/>
          <w:szCs w:val="24"/>
          <w:highlight w:val="none"/>
          <w:lang w:val="en-US" w:eastAsia="zh-CN"/>
        </w:rPr>
        <w:t xml:space="preserve">投标</w:t>
      </w:r>
      <w:r>
        <w:rPr>
          <w:rFonts w:ascii="Times New Roman" w:hAnsi="Times New Roman" w:eastAsia="宋体" w:cs="Times New Roman"/>
          <w:b/>
          <w:bCs/>
          <w:i w:val="0"/>
          <w:iCs w:val="0"/>
          <w:color w:val="auto"/>
          <w:sz w:val="24"/>
          <w:szCs w:val="24"/>
          <w:highlight w:val="none"/>
        </w:rPr>
        <w:t xml:space="preserve">处理。</w:t>
      </w:r>
      <w:r/>
    </w:p>
    <w:p>
      <w:pPr>
        <w:numPr>
          <w:ilvl w:val="0"/>
          <w:numId w:val="0"/>
        </w:numPr>
        <w:ind w:left="0" w:right="0" w:firstLine="480"/>
        <w:spacing w:beforeAutospacing="0" w:afterAutospacing="0" w:line="440" w:lineRule="exact"/>
        <w:rPr>
          <w:rFonts w:hint="default" w:ascii="Times New Roman" w:hAnsi="Times New Roman" w:cs="Times New Roman"/>
          <w:b/>
          <w:bCs/>
          <w:i w:val="0"/>
          <w:iCs w:val="0"/>
          <w:color w:val="auto"/>
          <w:sz w:val="24"/>
          <w:szCs w:val="24"/>
          <w:highlight w:val="none"/>
          <w:lang w:val="en-US" w:eastAsia="zh-CN"/>
        </w:rPr>
      </w:pPr>
      <w:r>
        <w:rPr>
          <w:rFonts w:hint="eastAsia" w:ascii="Times New Roman" w:hAnsi="Times New Roman" w:cs="Times New Roman"/>
          <w:b/>
          <w:bCs/>
          <w:i w:val="0"/>
          <w:iCs w:val="0"/>
          <w:color w:val="auto"/>
          <w:sz w:val="24"/>
          <w:szCs w:val="24"/>
          <w:highlight w:val="none"/>
          <w:lang w:val="en-US" w:eastAsia="zh-CN"/>
        </w:rPr>
        <w:t xml:space="preserve">5.采购包2技术参数中要求“生产厂家品牌需经商标注册，并持有品牌商标注册证书”，中标后由采购方随机抽查，未提供的，采购方有权拒收并要求提供符合采购需求的产品，产品价格不得低于中标价。</w:t>
      </w:r>
      <w:r/>
    </w:p>
    <w:p>
      <w:pPr>
        <w:numPr>
          <w:ilvl w:val="0"/>
          <w:numId w:val="0"/>
        </w:numPr>
        <w:ind w:left="0" w:right="0" w:firstLine="48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.投标人应当对《中小企业声明函》真实性负责，投标人出具的《中小企业声明函》应当对本次采购标的逐一列明制造商且应当与明细报价表内容相对应。</w:t>
      </w:r>
      <w:r/>
    </w:p>
    <w:p>
      <w:pPr>
        <w:numPr>
          <w:ilvl w:val="0"/>
          <w:numId w:val="0"/>
        </w:numPr>
        <w:ind w:left="0" w:right="0" w:firstLine="48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.除特别标注尺寸偏差、大于、大于等于、小于及小于等于之外，</w:t>
      </w:r>
      <w:r>
        <w:rPr>
          <w:rFonts w:hint="eastAsia" w:ascii="宋体" w:hAnsi="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en-US" w:eastAsia="zh-CN"/>
        </w:rPr>
        <w:t xml:space="preserve">固定尺寸允许偏差±5%。</w:t>
      </w:r>
      <w:r/>
    </w:p>
    <w:p>
      <w:pPr>
        <w:numPr>
          <w:ilvl w:val="0"/>
          <w:numId w:val="0"/>
        </w:numPr>
        <w:ind w:left="0" w:right="0" w:firstLine="48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供货前</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应提供相关货物、设备的规格、颜色、外形等供采购人确认</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否则造成的损失由</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自行承担。产品必须是正规厂家新品，不得使用已经淘汰或拼凑、组装的伪劣、假冒部件及产品经</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eastAsia="zh-CN"/>
        </w:rPr>
        <w:t xml:space="preserve">人审验合格后方可进场，所有产品需符合国家标准要求</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不得以次充好。</w:t>
      </w:r>
      <w:r/>
    </w:p>
    <w:p>
      <w:pPr>
        <w:numPr>
          <w:ilvl w:val="0"/>
          <w:numId w:val="0"/>
        </w:numPr>
        <w:ind w:left="0" w:right="0" w:firstLine="56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应在合同签订后规定时间按要求将货物运输至业主指定的交货地点。零散及易损件须用木箱包装，确保防盗、防震、防潮、防破损、运输方式确定，并且由于运输造成的设备损坏，丢失均由</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负责处理，未按进度供货的，责任</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自负。</w:t>
      </w:r>
      <w:r/>
    </w:p>
    <w:p>
      <w:pPr>
        <w:numPr>
          <w:ilvl w:val="0"/>
          <w:numId w:val="0"/>
        </w:numPr>
        <w:ind w:left="0" w:right="0" w:firstLine="48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.经</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eastAsia="zh-CN"/>
        </w:rPr>
        <w:t xml:space="preserve">人确认供货完成后，</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应在规定时间内完成货物的安装、调试的工作，对于安装、调试出现质量问题的，</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应及时更换新的产品，确保货物质量。</w:t>
      </w:r>
      <w:r/>
    </w:p>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四、项目要求</w:t>
      </w:r>
      <w:r/>
    </w:p>
    <w:p>
      <w:pPr>
        <w:ind w:left="0" w:right="0" w:firstLine="482"/>
        <w:keepLines w:val="0"/>
        <w:keepNext w:val="0"/>
        <w:pageBreakBefore w:val="0"/>
        <w:spacing w:beforeAutospacing="0" w:afterAutospacing="0" w:line="440" w:lineRule="exact"/>
        <w:shd w:val="clear" w:color="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（一）供货要求</w:t>
      </w:r>
      <w:r/>
    </w:p>
    <w:p>
      <w:pPr>
        <w:numPr>
          <w:ilvl w:val="0"/>
          <w:numId w:val="0"/>
        </w:numPr>
        <w:ind w:left="0" w:right="0" w:firstLine="480"/>
        <w:spacing w:beforeAutospacing="0" w:afterAutospacing="0" w:line="4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应提供合格货物，保证货物为全新、未使用的原厂原装正品，货物上均有合格证，包括品牌的有关标志。</w:t>
      </w:r>
      <w:r/>
    </w:p>
    <w:p>
      <w:pPr>
        <w:ind w:left="0" w:right="0" w:firstLine="482"/>
        <w:keepLines w:val="0"/>
        <w:keepNext w:val="0"/>
        <w:pageBreakBefore w:val="0"/>
        <w:spacing w:beforeAutospacing="0" w:afterAutospacing="0" w:line="440" w:lineRule="exact"/>
        <w:shd w:val="clear" w:color="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（二）质量保证</w:t>
      </w:r>
      <w:r/>
    </w:p>
    <w:p>
      <w:pPr>
        <w:ind w:left="0" w:right="0" w:firstLine="48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应保证提供的货物经过正确安装、正常使用和保养条件下，在其使用寿命内应具有满意的性能。货物最终验收后，在售后服务期内，</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应对由于设计、工艺或材料的缺陷以及其他由于生产厂家或</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的原因而发生的任何不足或故障负责，费用由</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负担。</w:t>
      </w:r>
      <w:r/>
    </w:p>
    <w:p>
      <w:pPr>
        <w:ind w:left="0" w:right="0" w:firstLine="48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（2）根据当地法定检验机构的检验结果或者在售后服务期内，如果货物的质量或规格型号与合同不符，或证明货物是有缺陷的，包括潜在的缺陷或使用不符合要求的材料等，采购人有权向</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发出索赔通知。</w:t>
      </w:r>
      <w:r/>
    </w:p>
    <w:p>
      <w:pPr>
        <w:ind w:left="0" w:right="0" w:firstLine="480"/>
        <w:keepLines w:val="0"/>
        <w:keepNext w:val="0"/>
        <w:pageBreakBefore w:val="0"/>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在收到通知后，应在合同所附服务承诺约定的时间内维修、更换有缺陷的货物或部件。</w:t>
      </w:r>
      <w:r/>
    </w:p>
    <w:p>
      <w:pPr>
        <w:ind w:left="0" w:right="0" w:firstLine="480"/>
        <w:keepLines w:val="0"/>
        <w:keepNext w:val="0"/>
        <w:pageBreakBefore w:val="0"/>
        <w:spacing w:beforeAutospacing="0" w:afterAutospacing="0" w:line="440" w:lineRule="exact"/>
        <w:shd w:val="clear" w:color="auto"/>
        <w:rPr>
          <w:rFonts w:hint="eastAsia" w:ascii="宋体" w:hAnsi="宋体" w:eastAsia="宋体" w:cs="宋体"/>
          <w:b/>
          <w:bCs/>
          <w:iCs/>
          <w:color w:val="auto"/>
          <w:sz w:val="24"/>
          <w:szCs w:val="24"/>
          <w:highlight w:val="none"/>
        </w:rPr>
      </w:pPr>
      <w:r>
        <w:rPr>
          <w:rFonts w:hint="eastAsia" w:ascii="宋体" w:hAnsi="宋体" w:eastAsia="宋体" w:cs="宋体"/>
          <w:color w:val="auto"/>
          <w:sz w:val="24"/>
          <w:szCs w:val="24"/>
          <w:highlight w:val="none"/>
        </w:rPr>
        <w:t xml:space="preserve">（4）如果</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在收到通知后，在合同所附服务承诺约定的时间内没有弥补缺陷，采购人可采取必要的补救措施，但风险和费用将由</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承担。</w:t>
      </w:r>
      <w:r/>
    </w:p>
    <w:p>
      <w:pPr>
        <w:ind w:left="0" w:right="0" w:firstLine="482"/>
        <w:keepLines w:val="0"/>
        <w:keepNext w:val="0"/>
        <w:pageBreakBefore w:val="0"/>
        <w:spacing w:beforeAutospacing="0" w:afterAutospacing="0" w:line="440" w:lineRule="exac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（三）货物的包装、发运及运输</w:t>
      </w:r>
      <w:r/>
    </w:p>
    <w:p>
      <w:pPr>
        <w:ind w:left="0" w:right="0" w:firstLine="56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应在货物发运前对其进行满足运输距离、防潮、防震、防锈和防破损装卸等要求包装，以保证货物安全运达采购人指定地点。</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对货物的包装应符合《商品包装政府采购需求标准（试行）</w:t>
      </w:r>
      <w:r>
        <w:rPr>
          <w:rFonts w:hint="eastAsia" w:ascii="宋体" w:hAnsi="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《快递包装政府采购需求标准（试行）》的规定。</w:t>
      </w:r>
      <w:r/>
    </w:p>
    <w:p>
      <w:pPr>
        <w:ind w:left="0" w:right="0" w:firstLine="56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（2）使用说明书、质量检验证明书、随配附件和工具以及清单一并附于货物内。</w:t>
      </w:r>
      <w:r/>
    </w:p>
    <w:p>
      <w:pPr>
        <w:ind w:left="0" w:right="0" w:firstLine="56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在货物发运手续办理完毕后24小时内或货到采购人48小时前通知采购人，以准备接货。</w:t>
      </w:r>
      <w:r/>
    </w:p>
    <w:p>
      <w:pPr>
        <w:ind w:left="0" w:right="0" w:firstLine="56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（4）货物在交付采购人前发生的风险均由</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负责。</w:t>
      </w:r>
      <w:r/>
    </w:p>
    <w:p>
      <w:pPr>
        <w:ind w:left="0" w:right="0" w:firstLine="56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）货物在规定的交付期限内由</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送达采购人指定的地点视为交付，</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同时需通知采购人货物已送达。</w:t>
      </w:r>
      <w:r/>
    </w:p>
    <w:p>
      <w:pPr>
        <w:ind w:firstLine="482"/>
        <w:spacing w:line="360" w:lineRule="auto"/>
        <w:rPr>
          <w:rFonts w:ascii="Times New Roman" w:hAnsi="Times New Roman" w:eastAsia="宋体" w:cs="Times New Roman"/>
          <w:b/>
          <w:bCs/>
          <w:iCs/>
          <w:color w:val="auto"/>
          <w:sz w:val="24"/>
          <w:szCs w:val="24"/>
          <w:highlight w:val="none"/>
        </w:rPr>
      </w:pPr>
      <w:r>
        <w:rPr>
          <w:rFonts w:ascii="Times New Roman" w:hAnsi="Times New Roman" w:eastAsia="宋体" w:cs="Times New Roman"/>
          <w:b/>
          <w:bCs/>
          <w:iCs/>
          <w:color w:val="auto"/>
          <w:sz w:val="24"/>
          <w:szCs w:val="24"/>
          <w:highlight w:val="none"/>
        </w:rPr>
        <w:t xml:space="preserve">（</w:t>
      </w:r>
      <w:r>
        <w:rPr>
          <w:rFonts w:hint="eastAsia" w:ascii="Times New Roman" w:hAnsi="Times New Roman" w:cs="Times New Roman"/>
          <w:b/>
          <w:bCs/>
          <w:iCs/>
          <w:color w:val="auto"/>
          <w:sz w:val="24"/>
          <w:szCs w:val="24"/>
          <w:highlight w:val="none"/>
          <w:lang w:val="en-US" w:eastAsia="zh-CN"/>
        </w:rPr>
        <w:t xml:space="preserve">四</w:t>
      </w:r>
      <w:r>
        <w:rPr>
          <w:rFonts w:ascii="Times New Roman" w:hAnsi="Times New Roman" w:eastAsia="宋体" w:cs="Times New Roman"/>
          <w:b/>
          <w:bCs/>
          <w:iCs/>
          <w:color w:val="auto"/>
          <w:sz w:val="24"/>
          <w:szCs w:val="24"/>
          <w:highlight w:val="none"/>
        </w:rPr>
        <w:t xml:space="preserve">）清单相关装修安装要求（装修、安装部分）</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lang w:val="en-US" w:eastAsia="zh-CN"/>
        </w:rPr>
        <w:t xml:space="preserve">.</w:t>
      </w:r>
      <w:r>
        <w:rPr>
          <w:rFonts w:ascii="Times New Roman" w:hAnsi="Times New Roman" w:eastAsia="宋体" w:cs="Times New Roman"/>
          <w:color w:val="auto"/>
          <w:sz w:val="24"/>
          <w:szCs w:val="24"/>
          <w:highlight w:val="none"/>
        </w:rPr>
        <w:t xml:space="preserve">投标人</w:t>
      </w:r>
      <w:r>
        <w:rPr>
          <w:rFonts w:ascii="Times New Roman" w:hAnsi="Times New Roman" w:eastAsia="宋体" w:cs="Times New Roman"/>
          <w:color w:val="auto"/>
          <w:sz w:val="24"/>
          <w:szCs w:val="24"/>
          <w:highlight w:val="none"/>
          <w:lang w:val="en-US" w:eastAsia="zh-CN"/>
        </w:rPr>
        <w:t xml:space="preserve">可提前</w:t>
      </w:r>
      <w:r>
        <w:rPr>
          <w:rFonts w:ascii="Times New Roman" w:hAnsi="Times New Roman" w:eastAsia="宋体" w:cs="Times New Roman"/>
          <w:color w:val="auto"/>
          <w:sz w:val="24"/>
          <w:szCs w:val="24"/>
          <w:highlight w:val="none"/>
        </w:rPr>
        <w:t xml:space="preserve">自行踏勘现场，结合项目现场和采购人要求，充分考虑装修、安装涉及的接电接水管材、电源线、桥架、支架、管道、管线、配件辅材、电路控制电气（</w:t>
      </w:r>
      <w:r>
        <w:rPr>
          <w:rFonts w:hint="eastAsia" w:ascii="Times New Roman" w:hAnsi="Times New Roman" w:cs="Times New Roman"/>
          <w:color w:val="auto"/>
          <w:sz w:val="24"/>
          <w:szCs w:val="24"/>
          <w:highlight w:val="none"/>
          <w:lang w:eastAsia="zh-CN"/>
        </w:rPr>
        <w:t xml:space="preserve">如需</w:t>
      </w:r>
      <w:r>
        <w:rPr>
          <w:rFonts w:ascii="Times New Roman" w:hAnsi="Times New Roman" w:eastAsia="宋体" w:cs="Times New Roman"/>
          <w:color w:val="auto"/>
          <w:sz w:val="24"/>
          <w:szCs w:val="24"/>
          <w:highlight w:val="none"/>
        </w:rPr>
        <w:t xml:space="preserve">有，须含电箱）</w:t>
      </w:r>
      <w:r>
        <w:rPr>
          <w:rFonts w:ascii="Times New Roman" w:hAnsi="Times New Roman" w:eastAsia="宋体" w:cs="Times New Roman"/>
          <w:color w:val="auto"/>
          <w:sz w:val="24"/>
          <w:szCs w:val="24"/>
          <w:highlight w:val="none"/>
          <w:lang w:eastAsia="zh-CN"/>
        </w:rPr>
        <w:t xml:space="preserve">、</w:t>
      </w:r>
      <w:r>
        <w:rPr>
          <w:rFonts w:ascii="Times New Roman" w:hAnsi="Times New Roman" w:eastAsia="宋体" w:cs="Times New Roman"/>
          <w:color w:val="auto"/>
          <w:sz w:val="24"/>
          <w:szCs w:val="24"/>
          <w:highlight w:val="none"/>
        </w:rPr>
        <w:t xml:space="preserve">设备安装基础及设备吊装、高空作业（如有，须满足）、管道开洞及封补洞、垃圾清运等全部采购安装事务及费用</w:t>
      </w:r>
      <w:r>
        <w:rPr>
          <w:rFonts w:ascii="Times New Roman" w:hAnsi="Times New Roman" w:eastAsia="宋体" w:cs="Times New Roman"/>
          <w:color w:val="auto"/>
          <w:sz w:val="24"/>
          <w:szCs w:val="24"/>
          <w:highlight w:val="none"/>
          <w:lang w:eastAsia="zh-CN"/>
        </w:rPr>
        <w:t xml:space="preserve">、</w:t>
      </w:r>
      <w:r>
        <w:rPr>
          <w:rFonts w:ascii="Times New Roman" w:hAnsi="Times New Roman" w:eastAsia="宋体" w:cs="Times New Roman"/>
          <w:color w:val="auto"/>
          <w:sz w:val="24"/>
          <w:szCs w:val="24"/>
          <w:highlight w:val="none"/>
        </w:rPr>
        <w:t xml:space="preserve">其他相关辅材等。以上相关配件辅材，因考虑不全造成遗漏，均由中标人负责，视同中标人主动让利，不再另计。所有设施设备及</w:t>
      </w:r>
      <w:r>
        <w:rPr>
          <w:rFonts w:hint="eastAsia" w:ascii="Times New Roman" w:hAnsi="Times New Roman" w:cs="Times New Roman"/>
          <w:color w:val="auto"/>
          <w:sz w:val="24"/>
          <w:szCs w:val="24"/>
          <w:highlight w:val="none"/>
          <w:lang w:eastAsia="zh-CN"/>
        </w:rPr>
        <w:t xml:space="preserve">外露</w:t>
      </w:r>
      <w:r>
        <w:rPr>
          <w:rFonts w:ascii="Times New Roman" w:hAnsi="Times New Roman" w:eastAsia="宋体" w:cs="Times New Roman"/>
          <w:color w:val="auto"/>
          <w:sz w:val="24"/>
          <w:szCs w:val="24"/>
          <w:highlight w:val="none"/>
        </w:rPr>
        <w:t xml:space="preserve">管线设置及处理须满足采购人关于布局整体要求和项目需求，确保耐久、安全（如有，须含）。安装及供</w:t>
      </w:r>
      <w:r>
        <w:rPr>
          <w:rFonts w:hint="eastAsia" w:ascii="Times New Roman" w:hAnsi="Times New Roman" w:cs="Times New Roman"/>
          <w:color w:val="auto"/>
          <w:sz w:val="24"/>
          <w:szCs w:val="24"/>
          <w:highlight w:val="none"/>
          <w:lang w:eastAsia="zh-CN"/>
        </w:rPr>
        <w:t xml:space="preserve">货数</w:t>
      </w:r>
      <w:r>
        <w:rPr>
          <w:rFonts w:ascii="Times New Roman" w:hAnsi="Times New Roman" w:eastAsia="宋体" w:cs="Times New Roman"/>
          <w:color w:val="auto"/>
          <w:sz w:val="24"/>
          <w:szCs w:val="24"/>
          <w:highlight w:val="none"/>
        </w:rPr>
        <w:t xml:space="preserve">量等投标事宜并承担所有关联责任，确保本项目供货及安装调试全面满足项目技术要求及安装调试规范标准、采购人要求和项目功能使用和进度需求。</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w:t>
      </w:r>
      <w:r>
        <w:rPr>
          <w:rFonts w:hint="eastAsia" w:ascii="Times New Roman" w:hAnsi="Times New Roman" w:cs="Times New Roman"/>
          <w:color w:val="auto"/>
          <w:sz w:val="24"/>
          <w:szCs w:val="24"/>
          <w:highlight w:val="none"/>
          <w:lang w:val="en-US" w:eastAsia="zh-CN"/>
        </w:rPr>
        <w:t xml:space="preserve">中标人</w:t>
      </w:r>
      <w:r>
        <w:rPr>
          <w:rFonts w:ascii="Times New Roman" w:hAnsi="Times New Roman" w:eastAsia="宋体" w:cs="Times New Roman"/>
          <w:color w:val="auto"/>
          <w:sz w:val="24"/>
          <w:szCs w:val="24"/>
          <w:highlight w:val="none"/>
        </w:rPr>
        <w:t xml:space="preserve">结合项目</w:t>
      </w:r>
      <w:r>
        <w:rPr>
          <w:rFonts w:ascii="Times New Roman" w:hAnsi="Times New Roman" w:eastAsia="宋体" w:cs="Times New Roman"/>
          <w:color w:val="auto"/>
          <w:sz w:val="24"/>
          <w:szCs w:val="24"/>
          <w:highlight w:val="none"/>
          <w:lang w:val="en-US" w:eastAsia="zh-CN"/>
        </w:rPr>
        <w:t xml:space="preserve">实际需求</w:t>
      </w:r>
      <w:r>
        <w:rPr>
          <w:rFonts w:ascii="Times New Roman" w:hAnsi="Times New Roman" w:eastAsia="宋体" w:cs="Times New Roman"/>
          <w:color w:val="auto"/>
          <w:sz w:val="24"/>
          <w:szCs w:val="24"/>
          <w:highlight w:val="none"/>
        </w:rPr>
        <w:t xml:space="preserve">，深化供货方案，务必满足设施设备安装和使用功能整体需求；中标后合同签订后3日历天内提供</w:t>
      </w:r>
      <w:r>
        <w:rPr>
          <w:rFonts w:hint="eastAsia" w:ascii="Times New Roman" w:hAnsi="Times New Roman" w:cs="Times New Roman"/>
          <w:color w:val="auto"/>
          <w:sz w:val="24"/>
          <w:szCs w:val="24"/>
          <w:highlight w:val="none"/>
          <w:lang w:val="en-US" w:eastAsia="zh-CN"/>
        </w:rPr>
        <w:t xml:space="preserve">文宣装修、环境布置的</w:t>
      </w:r>
      <w:r>
        <w:rPr>
          <w:rFonts w:ascii="Times New Roman" w:hAnsi="Times New Roman" w:eastAsia="宋体" w:cs="Times New Roman"/>
          <w:color w:val="auto"/>
          <w:sz w:val="24"/>
          <w:szCs w:val="24"/>
          <w:highlight w:val="none"/>
        </w:rPr>
        <w:t xml:space="preserve">深化方案</w:t>
      </w:r>
      <w:r>
        <w:rPr>
          <w:rFonts w:ascii="Times New Roman" w:hAnsi="Times New Roman" w:eastAsia="宋体" w:cs="Times New Roman"/>
          <w:color w:val="auto"/>
          <w:sz w:val="24"/>
          <w:szCs w:val="24"/>
          <w:highlight w:val="none"/>
          <w:lang w:eastAsia="zh-CN"/>
        </w:rPr>
        <w:t xml:space="preserve">，</w:t>
      </w:r>
      <w:r>
        <w:rPr>
          <w:rFonts w:ascii="Times New Roman" w:hAnsi="Times New Roman" w:eastAsia="宋体" w:cs="Times New Roman"/>
          <w:color w:val="auto"/>
          <w:sz w:val="24"/>
          <w:szCs w:val="24"/>
          <w:highlight w:val="none"/>
        </w:rPr>
        <w:t xml:space="preserve">方案须明确工作进度（全面服从室内装修和采购人关于本项目的各相关工序施工安排，满足相关项目的配合施工和验收需求），且须满足该项目装修、安装规范要求；书面方案报经本项目采购人同意后，方可实施。因不满足规范要求，造成相关安装责任及损失的，由中标人全部负责。</w:t>
      </w:r>
      <w:r/>
    </w:p>
    <w:p>
      <w:pPr>
        <w:pStyle w:val="934"/>
        <w:ind w:left="0" w:right="0" w:firstLine="560"/>
        <w:spacing w:beforeAutospacing="0" w:afterAutospacing="0" w:line="440" w:lineRule="exact"/>
        <w:tabs>
          <w:tab w:val="left" w:pos="753" w:leader="none"/>
        </w:tabs>
        <w:rPr>
          <w:rFonts w:hint="eastAsia"/>
          <w:color w:val="auto"/>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施工注意事项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人必须注意装修、安装调试现场安全，做好安全文明施工工作，一切责任由中标人负责，与采购人无关。施工过程中中标人应做好原有建筑及设施防护工作，如因中标人原因造成原有建筑及设施损坏，由中标人负责维修恢复原样。</w:t>
      </w:r>
      <w:r/>
    </w:p>
    <w:p>
      <w:pPr>
        <w:ind w:left="0" w:right="0" w:firstLine="482"/>
        <w:keepLines w:val="0"/>
        <w:keepNext w:val="0"/>
        <w:pageBreakBefore w:val="0"/>
        <w:spacing w:beforeAutospacing="0" w:afterAutospacing="0" w:line="440" w:lineRule="exact"/>
        <w:shd w:val="clear" w:color="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五</w:t>
      </w:r>
      <w:r>
        <w:rPr>
          <w:rFonts w:hint="eastAsia" w:ascii="宋体" w:hAnsi="宋体" w:eastAsia="宋体" w:cs="宋体"/>
          <w:b/>
          <w:bCs/>
          <w:color w:val="auto"/>
          <w:sz w:val="24"/>
          <w:szCs w:val="24"/>
          <w:highlight w:val="none"/>
          <w:lang w:val="en-US" w:eastAsia="zh-CN" w:bidi="ar-SA"/>
        </w:rPr>
        <w:t xml:space="preserve">）验收</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（1）验收要求</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验收时间：设备安装调试经采购人试用并达到验收标准后，采购人根据合同约定组织验收。</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验收内容：包括设备品牌、型号、规格、数量是否符合合同规定，外观质量、产品包装是否完好、安装调试是否合格，所提供设备装箱清单、操作说明、维修手册等是否齐全。</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成立验收小组，按照采购合同的约定对中标人的履约情况进行验收。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（2）验收标准</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按照招标文件、投标文件及相关标准实施。有国家标准的应符合国家标准，无国家标准的应符合行业标准、地方标准或者其他标准、规范，并满足招标文件要求，同时服从采购人安排要求。</w:t>
      </w:r>
      <w:r/>
    </w:p>
    <w:p>
      <w:pPr>
        <w:ind w:left="0" w:right="0" w:firstLine="482"/>
        <w:keepLines w:val="0"/>
        <w:keepNext w:val="0"/>
        <w:pageBreakBefore w:val="0"/>
        <w:spacing w:beforeAutospacing="0" w:afterAutospacing="0" w:line="44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）节能、环保产品政策</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对照财库〔2019〕9号、财库〔2019〕19号文件规定，投标人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标★为政府强制采购产品</w:t>
      </w:r>
      <w:r>
        <w:rPr>
          <w:rFonts w:hint="eastAsia" w:ascii="宋体" w:hAnsi="宋体" w:cs="宋体"/>
          <w:b/>
          <w:bCs/>
          <w:color w:val="auto"/>
          <w:sz w:val="24"/>
          <w:szCs w:val="24"/>
          <w:highlight w:val="none"/>
          <w:lang w:eastAsia="zh-CN"/>
        </w:rPr>
        <w:t xml:space="preserve">）</w:t>
      </w:r>
      <w:r/>
    </w:p>
    <w:p>
      <w:pPr>
        <w:ind w:left="0" w:right="0" w:firstLine="482"/>
        <w:keepLines w:val="0"/>
        <w:keepNext w:val="0"/>
        <w:pageBreakBefore w:val="0"/>
        <w:spacing w:beforeAutospacing="0" w:afterAutospacing="0" w:line="44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）商品包装、快递包装政府采购需求标准</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left="0" w:right="0" w:firstLine="482"/>
        <w:keepLines w:val="0"/>
        <w:keepNext w:val="0"/>
        <w:pageBreakBefore w:val="0"/>
        <w:spacing w:beforeAutospacing="0" w:afterAutospacing="0" w:line="44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）采购本国货物、工程和服务</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政府采购应当采购本国货物、工程和服务，但有《中华人民共和国政府采购法》第十条规定情形的除外。</w:t>
      </w:r>
      <w:r/>
    </w:p>
    <w:p>
      <w:pPr>
        <w:ind w:left="0" w:right="0"/>
        <w:keepLines w:val="0"/>
        <w:keepNext w:val="0"/>
        <w:pageBreakBefore w:val="0"/>
        <w:spacing w:beforeAutospacing="0" w:afterAutospacing="0" w:line="44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五、项目实施要求</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投标人针对本项目提供详细的项目实施方案，内容包括但不限于：质量保证</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培训及技术支持</w:t>
      </w:r>
      <w:r>
        <w:rPr>
          <w:rFonts w:hint="eastAsia" w:ascii="宋体" w:hAnsi="宋体" w:eastAsia="宋体" w:cs="宋体"/>
          <w:color w:val="auto"/>
          <w:sz w:val="24"/>
          <w:szCs w:val="24"/>
          <w:highlight w:val="none"/>
          <w:lang w:val="en-US" w:eastAsia="zh-CN"/>
        </w:rPr>
        <w:t xml:space="preserve">方案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售后服务方案等。</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（一）质量保障要求</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投标人针对本项目提供详细的质量保证</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，内容包括但不限于：</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（1）详细的</w:t>
      </w:r>
      <w:r>
        <w:rPr>
          <w:rFonts w:hint="eastAsia" w:ascii="宋体" w:hAnsi="宋体" w:eastAsia="宋体" w:cs="宋体"/>
          <w:color w:val="auto"/>
          <w:sz w:val="24"/>
          <w:szCs w:val="24"/>
          <w:highlight w:val="none"/>
          <w:lang w:val="en-US" w:eastAsia="zh-CN"/>
        </w:rPr>
        <w:t xml:space="preserve">质量保障方案，</w:t>
      </w:r>
      <w:r>
        <w:rPr>
          <w:rFonts w:hint="eastAsia" w:ascii="宋体" w:hAnsi="宋体" w:cs="宋体"/>
          <w:color w:val="auto"/>
          <w:sz w:val="24"/>
          <w:szCs w:val="24"/>
          <w:highlight w:val="none"/>
          <w:lang w:val="en-US" w:eastAsia="zh-CN"/>
        </w:rPr>
        <w:t xml:space="preserve">包括但不限于</w:t>
      </w:r>
      <w:r>
        <w:rPr>
          <w:rFonts w:hint="eastAsia" w:ascii="宋体" w:hAnsi="宋体" w:eastAsia="宋体" w:cs="宋体"/>
          <w:color w:val="auto"/>
          <w:sz w:val="24"/>
          <w:szCs w:val="24"/>
          <w:highlight w:val="none"/>
          <w:lang w:val="en-US" w:eastAsia="zh-CN"/>
        </w:rPr>
        <w:t xml:space="preserve">质量保证体系、质量方针和目标、质量管理措施、质量控制措施等方面的内容</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详细的施工进度保障方案，</w:t>
      </w:r>
      <w:r>
        <w:rPr>
          <w:rFonts w:hint="eastAsia" w:ascii="宋体" w:hAnsi="宋体" w:cs="宋体"/>
          <w:color w:val="auto"/>
          <w:sz w:val="24"/>
          <w:szCs w:val="24"/>
          <w:highlight w:val="none"/>
          <w:lang w:val="en-US" w:eastAsia="zh-CN"/>
        </w:rPr>
        <w:t xml:space="preserve">包括但不限于</w:t>
      </w:r>
      <w:r>
        <w:rPr>
          <w:rFonts w:hint="eastAsia" w:ascii="宋体" w:hAnsi="宋体" w:eastAsia="宋体" w:cs="宋体"/>
          <w:color w:val="auto"/>
          <w:sz w:val="24"/>
          <w:szCs w:val="24"/>
          <w:highlight w:val="none"/>
          <w:lang w:val="en-US" w:eastAsia="zh-CN"/>
        </w:rPr>
        <w:t xml:space="preserve">一份详尽的项目进度计划，有明确的时间节点和进度安排，展示项目各阶段的起止时间、关键过程等，且要充分考虑暑期暴雨及酷暑影响，避免影响工期。</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详细的现场管理要求</w:t>
      </w:r>
      <w:r>
        <w:rPr>
          <w:rFonts w:hint="eastAsia" w:ascii="宋体" w:hAnsi="宋体" w:cs="宋体"/>
          <w:color w:val="auto"/>
          <w:sz w:val="24"/>
          <w:szCs w:val="24"/>
          <w:highlight w:val="none"/>
          <w:lang w:val="en-US" w:eastAsia="zh-CN"/>
        </w:rPr>
        <w:t xml:space="preserve">，包括但不限于</w:t>
      </w:r>
      <w:r>
        <w:rPr>
          <w:rFonts w:hint="eastAsia" w:ascii="宋体" w:hAnsi="宋体" w:eastAsia="宋体" w:cs="宋体"/>
          <w:color w:val="auto"/>
          <w:sz w:val="24"/>
          <w:szCs w:val="24"/>
          <w:highlight w:val="none"/>
          <w:lang w:val="en-US" w:eastAsia="zh-CN"/>
        </w:rPr>
        <w:t xml:space="preserve">现场管理策略</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安全生产措施、环境保护措施以及日常现场管理流程等。</w:t>
      </w:r>
      <w:r/>
    </w:p>
    <w:p>
      <w:pPr>
        <w:ind w:left="0" w:right="0" w:firstLine="482"/>
        <w:keepLines w:val="0"/>
        <w:keepNext w:val="0"/>
        <w:pageBreakBefore w:val="0"/>
        <w:spacing w:beforeAutospacing="0" w:afterAutospacing="0" w:line="440" w:lineRule="exact"/>
        <w:shd w:val="clear" w:color="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）培训及技术支持</w:t>
      </w:r>
      <w:r>
        <w:rPr>
          <w:rFonts w:hint="eastAsia" w:ascii="宋体" w:hAnsi="宋体" w:eastAsia="宋体" w:cs="宋体"/>
          <w:b/>
          <w:bCs/>
          <w:color w:val="auto"/>
          <w:sz w:val="24"/>
          <w:szCs w:val="24"/>
          <w:highlight w:val="none"/>
          <w:lang w:val="en-US" w:eastAsia="zh-CN"/>
        </w:rPr>
        <w:t xml:space="preserve">要求</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投标人结合用户实际情况，在安装过程中或安装结束后，对采购人和操作人员进行操作培训并提供快捷操作指南（塑胶封好，挂在设备上）。</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同时投标人需制定适合用户详细、操作性强的培训方案，内容包含但不限于培训目的、培训时间、培训内容、培训对象、培训地点、培训方式及课时安排、培训教材、培训师资等。</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（1）培训目的：通过对用户的培训，使其对设备的使用、操作、维护进行培训，并提供安装使用维护说明书，以确保使用单位能够对设备有足够的了解，能够独立进行日常操作、管理和维护。</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（2）培训时间：投标人完成供货并交付用户使用之日起两周内对用户完成培训。交付使用1个月后投标人须派遣专业技术人员到工作现场，对用户各种技术问题和使用进行现场指导和培训。</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（3）培训内容：包括但不限于安全知识学习、产品具有的功能学习、产品体系架构学习、安装、调试、操作的培训、产品的日常维护学习、产品的故障紧急处理。</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（4）培训对象：本次采购的产品使用者。</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（5）培训地点：同交货地点。</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（6）培训方式及课时安排：现场培训或线上培训、至少2课时，每课时至少30分钟。</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（7）培训教材：免费提供培训教材纸质版或电子版（含使用手册）等。</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（8）培训师资：投标人须委派专业技术人员对用户进行培训。</w:t>
      </w:r>
      <w:r/>
    </w:p>
    <w:p>
      <w:pPr>
        <w:ind w:left="0" w:right="0" w:firstLine="482"/>
        <w:keepLines w:val="0"/>
        <w:keepNext w:val="0"/>
        <w:pageBreakBefore w:val="0"/>
        <w:spacing w:beforeAutospacing="0" w:afterAutospacing="0" w:line="440" w:lineRule="exact"/>
        <w:widowControl w:val="off"/>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val="en-US" w:eastAsia="zh-CN"/>
        </w:rPr>
        <w:t xml:space="preserve">售后服务要求</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投标人针对本项目提供详细的售后服务方案，内容包含但不限于：</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要求售后服务期：售后服务期内对产品质量实行三包，免费为本项目采购的所有产品提供维修、保养、替换故障部件等服务。此项目要求提供技术支持服务，处理用户出现的各种问题和故障，以保证用户工作的正常运行。应在接到故障通知2小时内作出有效响应，如需现场解决，到达现场时间不超过8小时，特殊情况下不超过24小时内到达现场免费予以排除故障、修复或更换零部件。如3个工作日内不能修复必须提供备用机使用，确保采购人能正常开展工作，设备在设计</w:t>
      </w:r>
      <w:r>
        <w:rPr>
          <w:rFonts w:hint="eastAsia" w:ascii="宋体" w:hAnsi="宋体" w:cs="宋体"/>
          <w:color w:val="auto"/>
          <w:sz w:val="24"/>
          <w:szCs w:val="24"/>
          <w:highlight w:val="none"/>
          <w:lang w:eastAsia="zh-CN"/>
        </w:rPr>
        <w:t xml:space="preserve">使用</w:t>
      </w:r>
      <w:r>
        <w:rPr>
          <w:rFonts w:hint="eastAsia" w:ascii="宋体" w:hAnsi="宋体" w:eastAsia="宋体" w:cs="宋体"/>
          <w:color w:val="auto"/>
          <w:sz w:val="24"/>
          <w:szCs w:val="24"/>
          <w:highlight w:val="none"/>
        </w:rPr>
        <w:t xml:space="preserve">周期内，保证更换到原厂配件。</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售后人员配备情况：本项目的保修服务方式均为上门保修，即由投标人派技术人员到采购单位使用现场维修，由此产生的一切费用均由投标人承担。售后人员配备不少于1人，提供售后人员相关信息及提供免费保修电话。</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）售后服务期满后，投标人仍有义务提供优惠的技术服务（包括提供设备维护、备件等）。</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）售后服务期满后主要产品、配件优惠方案：售后服务期结束后，投标人应当提供保修服务，收取费用不得高于其他服务客户的费用。</w:t>
      </w:r>
      <w:r/>
    </w:p>
    <w:p>
      <w:pPr>
        <w:ind w:left="0" w:right="0" w:firstLine="480"/>
        <w:keepLines w:val="0"/>
        <w:keepNext w:val="0"/>
        <w:pageBreakBefore w:val="0"/>
        <w:spacing w:beforeAutospacing="0" w:afterAutospacing="0"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）投标人未在上述规定时间内履行售后服务义务的，采购人可选择是否委托第三方代为处理，由此产生的费用及损失均由投标人承担。</w:t>
      </w:r>
      <w:r/>
    </w:p>
    <w:p>
      <w:pPr>
        <w:ind w:left="0" w:right="0" w:firstLine="480"/>
        <w:keepLines w:val="0"/>
        <w:keepNext w:val="0"/>
        <w:pageBreakBefore w:val="0"/>
        <w:spacing w:beforeAutospacing="0" w:afterAutospacing="0" w:line="440" w:lineRule="exact"/>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采购需求清单中涉及软件产品的，采购方享有软件永久使用权。</w:t>
      </w:r>
      <w:r/>
    </w:p>
    <w:p>
      <w:pPr>
        <w:ind w:left="0" w:right="0"/>
        <w:keepLines w:val="0"/>
        <w:keepNext w:val="0"/>
        <w:pageBreakBefore w:val="0"/>
        <w:spacing w:beforeAutospacing="0" w:afterAutospacing="0" w:line="440" w:lineRule="exact"/>
        <w:widowControl w:val="off"/>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lang w:val="en-US" w:eastAsia="zh-CN"/>
        </w:rPr>
        <w:t xml:space="preserve">、报价要求</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报价内容包括：所需设备、材料、安装、调试、维护、培训、运输、施工、垃圾清扫和搬运、成品保护、检测、检验、利润、税金、政策性文件规定及本项目包含的所有风险、责任等各项应有费用。</w:t>
      </w:r>
      <w:r/>
    </w:p>
    <w:p>
      <w:pPr>
        <w:ind w:left="0" w:right="0" w:firstLine="48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供应商报价时应充分考虑所有可能影响到报价的因素，一旦招标结束最终成交，总价将包定，不予调整。如发生漏、缺、少项，都将被认为是成交供应商的报价让利行为，损失自付。</w:t>
      </w:r>
      <w:r/>
    </w:p>
    <w:p>
      <w:pPr>
        <w:ind w:left="0" w:right="0"/>
        <w:spacing w:beforeAutospacing="0" w:afterAutospacing="0" w:line="440" w:lineRule="exact"/>
        <w:rPr>
          <w:rFonts w:hint="eastAsia" w:ascii="宋体" w:hAnsi="宋体" w:eastAsia="宋体" w:cs="宋体"/>
          <w:b/>
          <w:bCs/>
          <w:color w:val="auto"/>
          <w:sz w:val="24"/>
          <w:szCs w:val="24"/>
          <w:highlight w:val="none"/>
          <w:lang w:bidi="zh-CN"/>
        </w:rPr>
      </w:pPr>
      <w:r>
        <w:rPr>
          <w:rFonts w:hint="eastAsia" w:ascii="宋体" w:hAnsi="宋体" w:eastAsia="宋体" w:cs="宋体"/>
          <w:b/>
          <w:bCs/>
          <w:color w:val="auto"/>
          <w:sz w:val="24"/>
          <w:szCs w:val="24"/>
          <w:highlight w:val="none"/>
          <w:lang w:bidi="zh-CN"/>
        </w:rPr>
      </w:r>
      <w:r/>
    </w:p>
    <w:p>
      <w:pPr>
        <w:ind w:left="0" w:right="0"/>
        <w:spacing w:beforeAutospacing="0" w:afterAutospacing="0" w:line="440" w:lineRule="exact"/>
        <w:rPr>
          <w:rFonts w:hint="eastAsia" w:ascii="宋体" w:hAnsi="宋体" w:eastAsia="宋体" w:cs="宋体"/>
          <w:b/>
          <w:bCs/>
          <w:color w:val="auto"/>
          <w:sz w:val="24"/>
          <w:szCs w:val="24"/>
          <w:highlight w:val="none"/>
          <w:lang w:bidi="zh-CN"/>
        </w:rPr>
      </w:pPr>
      <w:r>
        <w:rPr>
          <w:rFonts w:hint="eastAsia" w:ascii="宋体" w:hAnsi="宋体" w:eastAsia="宋体" w:cs="宋体"/>
          <w:b/>
          <w:bCs/>
          <w:color w:val="auto"/>
          <w:sz w:val="24"/>
          <w:szCs w:val="24"/>
          <w:highlight w:val="none"/>
          <w:lang w:bidi="zh-CN"/>
        </w:rPr>
      </w:r>
      <w:r/>
    </w:p>
    <w:p>
      <w:pPr>
        <w:pStyle w:val="911"/>
        <w:ind w:left="0" w:right="0"/>
        <w:jc w:val="both"/>
        <w:spacing w:before="0" w:beforeAutospacing="0" w:after="0" w:afterAutospacing="0" w:line="440" w:lineRule="exact"/>
        <w:rPr>
          <w:rFonts w:hint="eastAsia" w:ascii="宋体" w:hAnsi="宋体" w:eastAsia="宋体" w:cs="宋体"/>
          <w:b/>
          <w:bCs/>
          <w:color w:val="auto"/>
          <w:sz w:val="24"/>
          <w:szCs w:val="24"/>
          <w:highlight w:val="none"/>
        </w:rPr>
      </w:pPr>
      <w:r/>
      <w:bookmarkStart w:id="120" w:name="_Toc17633"/>
      <w:r/>
      <w:bookmarkEnd w:id="120"/>
      <w:r/>
      <w:bookmarkStart w:id="121" w:name="_Toc143102494"/>
      <w:r/>
      <w:bookmarkEnd w:id="121"/>
      <w:r/>
      <w:r/>
    </w:p>
    <w:p>
      <w:pPr>
        <w:pStyle w:val="91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bookmarkStart w:id="122" w:name="_Toc81575169"/>
      <w:r/>
      <w:bookmarkStart w:id="123" w:name="_Toc81575206"/>
      <w:r/>
      <w:bookmarkStart w:id="124" w:name="_Toc176774461"/>
      <w:r/>
      <w:bookmarkStart w:id="125" w:name="_Toc7021"/>
      <w:r/>
      <w:r/>
    </w:p>
    <w:p>
      <w:pPr>
        <w:pStyle w:val="91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91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91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91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91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91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91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auto"/>
          <w:sz w:val="24"/>
          <w:szCs w:val="24"/>
          <w:highlight w:val="none"/>
          <w:shd w:val="clear" w:color="auto" w:fill="ffffff"/>
        </w:rPr>
      </w:r>
      <w:r/>
    </w:p>
    <w:p>
      <w:pPr>
        <w:pStyle w:val="911"/>
        <w:ind w:right="0"/>
        <w:jc w:val="center"/>
        <w:spacing w:before="0" w:beforeAutospacing="0" w:after="0" w:afterAutospacing="0" w:line="440" w:lineRule="exact"/>
        <w:rPr>
          <w:rFonts w:hint="eastAsia" w:ascii="宋体" w:hAnsi="宋体" w:eastAsia="宋体" w:cs="宋体"/>
          <w:b/>
          <w:bCs/>
          <w:color w:val="auto"/>
          <w:sz w:val="36"/>
          <w:szCs w:val="36"/>
          <w:highlight w:val="none"/>
          <w:shd w:val="clear" w:color="auto" w:fill="ffffff"/>
        </w:rPr>
      </w:pPr>
      <w:r>
        <w:rPr>
          <w:rFonts w:hint="eastAsia" w:ascii="宋体" w:hAnsi="宋体" w:eastAsia="宋体" w:cs="宋体"/>
          <w:b/>
          <w:bCs/>
          <w:color w:val="auto"/>
          <w:sz w:val="36"/>
          <w:szCs w:val="36"/>
          <w:highlight w:val="none"/>
          <w:shd w:val="clear" w:color="auto" w:fill="ffffff"/>
        </w:rPr>
        <w:t xml:space="preserve">第五部分  合同格式及条款</w:t>
      </w:r>
      <w:bookmarkEnd w:id="122"/>
      <w:r/>
      <w:bookmarkEnd w:id="123"/>
      <w:r/>
      <w:bookmarkEnd w:id="124"/>
      <w:r/>
      <w:bookmarkEnd w:id="125"/>
      <w:r/>
      <w:r/>
    </w:p>
    <w:p>
      <w:pPr>
        <w:pStyle w:val="730"/>
        <w:ind w:left="0" w:right="0"/>
        <w:jc w:val="center"/>
        <w:spacing w:beforeAutospacing="0" w:afterAutospacing="0" w:line="440" w:lineRule="exact"/>
        <w:rPr>
          <w:rFonts w:hint="eastAsia" w:ascii="宋体" w:hAnsi="宋体" w:eastAsia="宋体" w:cs="宋体"/>
          <w:b/>
          <w:bCs/>
          <w:color w:val="auto"/>
          <w:spacing w:val="-20"/>
          <w:sz w:val="24"/>
          <w:szCs w:val="24"/>
          <w:highlight w:val="none"/>
        </w:rPr>
      </w:pPr>
      <w:r/>
      <w:bookmarkStart w:id="126" w:name="_Toc81575170"/>
      <w:r/>
      <w:bookmarkEnd w:id="126"/>
      <w:r/>
      <w:bookmarkStart w:id="127" w:name="_Toc19649"/>
      <w:r/>
      <w:bookmarkEnd w:id="127"/>
      <w:r/>
      <w:bookmarkStart w:id="128" w:name="_Toc81575207"/>
      <w:r/>
      <w:bookmarkEnd w:id="128"/>
      <w:r>
        <w:rPr>
          <w:rFonts w:hint="eastAsia" w:ascii="宋体" w:hAnsi="宋体" w:eastAsia="宋体" w:cs="宋体"/>
          <w:color w:val="auto"/>
          <w:sz w:val="24"/>
          <w:szCs w:val="24"/>
          <w:highlight w:val="none"/>
        </w:rPr>
        <w:t xml:space="preserve"> </w:t>
      </w:r>
      <w:r/>
    </w:p>
    <w:p>
      <w:pPr>
        <w:pStyle w:val="730"/>
        <w:ind w:left="0" w:right="0"/>
        <w:jc w:val="center"/>
        <w:spacing w:beforeAutospacing="0" w:afterAutospacing="0" w:line="44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t xml:space="preserve">政府采购</w:t>
      </w:r>
      <w:r>
        <w:rPr>
          <w:rFonts w:hint="eastAsia" w:ascii="宋体" w:hAnsi="宋体" w:eastAsia="宋体" w:cs="宋体"/>
          <w:b/>
          <w:bCs/>
          <w:color w:val="auto"/>
          <w:spacing w:val="-20"/>
          <w:sz w:val="24"/>
          <w:szCs w:val="24"/>
          <w:highlight w:val="none"/>
          <w:lang w:eastAsia="zh-CN"/>
        </w:rPr>
        <w:t xml:space="preserve">货物买卖</w:t>
      </w:r>
      <w:r>
        <w:rPr>
          <w:rFonts w:hint="eastAsia" w:ascii="宋体" w:hAnsi="宋体" w:eastAsia="宋体" w:cs="宋体"/>
          <w:b/>
          <w:bCs/>
          <w:color w:val="auto"/>
          <w:spacing w:val="-20"/>
          <w:sz w:val="24"/>
          <w:szCs w:val="24"/>
          <w:highlight w:val="none"/>
        </w:rPr>
        <w:t xml:space="preserve">合同</w:t>
      </w:r>
      <w:r/>
    </w:p>
    <w:p>
      <w:pPr>
        <w:pStyle w:val="730"/>
        <w:ind w:left="0" w:right="0"/>
        <w:jc w:val="center"/>
        <w:spacing w:beforeAutospacing="0" w:afterAutospacing="0" w:line="440" w:lineRule="exact"/>
        <w:rPr>
          <w:rFonts w:hint="eastAsia" w:ascii="宋体" w:hAnsi="宋体" w:eastAsia="宋体" w:cs="宋体"/>
          <w:b/>
          <w:bCs/>
          <w:color w:val="auto"/>
          <w:spacing w:val="-20"/>
          <w:sz w:val="24"/>
          <w:szCs w:val="24"/>
          <w:highlight w:val="none"/>
          <w:lang w:eastAsia="zh-CN"/>
        </w:rPr>
      </w:pPr>
      <w:r>
        <w:rPr>
          <w:rFonts w:hint="eastAsia" w:ascii="宋体" w:hAnsi="宋体" w:eastAsia="宋体" w:cs="宋体"/>
          <w:b/>
          <w:bCs/>
          <w:color w:val="auto"/>
          <w:spacing w:val="-20"/>
          <w:sz w:val="24"/>
          <w:szCs w:val="24"/>
          <w:highlight w:val="none"/>
          <w:lang w:eastAsia="zh-CN"/>
        </w:rPr>
      </w:r>
      <w:r/>
    </w:p>
    <w:p>
      <w:pPr>
        <w:ind w:left="0" w:right="0"/>
        <w:spacing w:beforeAutospacing="0" w:afterAutospacing="0" w:line="44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left="0" w:right="0"/>
        <w:spacing w:beforeAutospacing="0" w:afterAutospacing="0" w:line="44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left="0" w:right="0"/>
        <w:spacing w:beforeAutospacing="0" w:afterAutospacing="0" w:line="44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u w:val="single"/>
          <w:lang w:eastAsia="zh-CN"/>
        </w:rPr>
        <w:t xml:space="preserve">泗洪姜堰实验学校初中部功能室、实验室采购项目</w:t>
      </w:r>
      <w:r/>
    </w:p>
    <w:p>
      <w:pPr>
        <w:ind w:left="0" w:right="0"/>
        <w:spacing w:beforeAutospacing="0" w:afterAutospacing="0" w:line="44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合同编号：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w:t>
      </w:r>
      <w:r>
        <w:rPr>
          <w:rFonts w:hint="eastAsia" w:ascii="宋体" w:hAnsi="宋体" w:cs="宋体"/>
          <w:color w:val="auto"/>
          <w:sz w:val="24"/>
          <w:szCs w:val="24"/>
          <w:highlight w:val="none"/>
          <w:u w:val="single"/>
          <w:lang w:eastAsia="zh-CN"/>
        </w:rPr>
        <w:t xml:space="preserve">泗洪姜堰实验学校</w:t>
      </w:r>
      <w:r>
        <w:rPr>
          <w:rFonts w:hint="eastAsia" w:ascii="宋体" w:hAnsi="宋体" w:eastAsia="宋体" w:cs="宋体"/>
          <w:color w:val="auto"/>
          <w:sz w:val="24"/>
          <w:szCs w:val="24"/>
          <w:highlight w:val="none"/>
          <w:u w:val="single"/>
          <w:lang w:val="en-US" w:eastAsia="zh-CN"/>
        </w:rPr>
        <w:t xml:space="preserve">       </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    方：</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签订时间：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2025年  月  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Start w:id="129" w:name="_Toc22209"/>
      <w:r/>
      <w:bookmarkEnd w:id="129"/>
      <w:r/>
      <w:r/>
    </w:p>
    <w:p>
      <w:pPr>
        <w:pStyle w:val="718"/>
        <w:ind w:left="0" w:right="0"/>
        <w:jc w:val="center"/>
        <w:spacing w:before="0" w:beforeAutospacing="0" w:after="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第一节 政府采购合同协议书</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甲方（全称）：</w:t>
      </w:r>
      <w:r>
        <w:rPr>
          <w:rFonts w:hint="eastAsia" w:ascii="宋体" w:hAnsi="宋体" w:cs="宋体"/>
          <w:color w:val="auto"/>
          <w:sz w:val="24"/>
          <w:szCs w:val="24"/>
          <w:highlight w:val="none"/>
          <w:u w:val="single"/>
          <w:lang w:eastAsia="zh-CN"/>
        </w:rPr>
        <w:t xml:space="preserve">泗洪姜堰实验学校</w:t>
      </w:r>
      <w:r>
        <w:rPr>
          <w:rFonts w:hint="eastAsia" w:ascii="宋体" w:hAnsi="宋体" w:eastAsia="宋体" w:cs="宋体"/>
          <w:color w:val="auto"/>
          <w:sz w:val="24"/>
          <w:szCs w:val="24"/>
          <w:highlight w:val="none"/>
        </w:rPr>
        <w:t xml:space="preserve">（采购人）</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pStyle w:val="731"/>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10"/>
        </w:numPr>
        <w:ind w:left="0" w:right="0" w:firstLine="422"/>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项目信息</w:t>
      </w:r>
      <w:r/>
    </w:p>
    <w:p>
      <w:pPr>
        <w:numPr>
          <w:ilvl w:val="0"/>
          <w:numId w:val="0"/>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采购项目名称：</w:t>
      </w:r>
      <w:r>
        <w:rPr>
          <w:rFonts w:hint="eastAsia" w:ascii="宋体" w:hAnsi="宋体" w:cs="宋体"/>
          <w:color w:val="auto"/>
          <w:sz w:val="24"/>
          <w:szCs w:val="24"/>
          <w:highlight w:val="none"/>
          <w:u w:val="single"/>
          <w:lang w:eastAsia="zh-CN"/>
        </w:rPr>
        <w:t xml:space="preserve">泗洪姜堰实验学校初中部功能室、实验室采购项目</w:t>
      </w:r>
      <w:r>
        <w:rPr>
          <w:rFonts w:hint="eastAsia" w:ascii="宋体" w:hAnsi="宋体" w:eastAsia="宋体" w:cs="宋体"/>
          <w:color w:val="auto"/>
          <w:sz w:val="24"/>
          <w:szCs w:val="24"/>
          <w:highlight w:val="none"/>
        </w:rPr>
        <w:t xml:space="preserve">         </w:t>
      </w:r>
      <w:r/>
    </w:p>
    <w:p>
      <w:pPr>
        <w:pStyle w:val="731"/>
        <w:numPr>
          <w:ilvl w:val="255"/>
          <w:numId w:val="0"/>
        </w:numPr>
        <w:ind w:left="0" w:right="0" w:firstLine="480"/>
        <w:keepLines w:val="0"/>
        <w:keepNext w:val="0"/>
        <w:pageBreakBefore w:val="0"/>
        <w:spacing w:beforeAutospacing="0" w:afterAutospacing="0" w:line="440" w:lineRule="exact"/>
        <w:tabs>
          <w:tab w:val="left" w:pos="999" w:leader="none"/>
        </w:tabs>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采购项目编号：</w:t>
      </w:r>
      <w:r>
        <w:rPr>
          <w:rFonts w:hint="eastAsia" w:ascii="宋体" w:hAnsi="宋体" w:eastAsia="宋体" w:cs="宋体"/>
          <w:color w:val="auto"/>
          <w:sz w:val="24"/>
          <w:szCs w:val="24"/>
          <w:highlight w:val="none"/>
          <w:u w:val="single"/>
          <w:lang w:val="en-US" w:eastAsia="zh-CN"/>
        </w:rPr>
        <w:t xml:space="preserve">                        </w:t>
      </w:r>
      <w:r/>
    </w:p>
    <w:p>
      <w:pPr>
        <w:pStyle w:val="731"/>
        <w:numPr>
          <w:ilvl w:val="255"/>
          <w:numId w:val="0"/>
        </w:numPr>
        <w:ind w:left="0" w:right="0"/>
        <w:keepLines w:val="0"/>
        <w:keepNext w:val="0"/>
        <w:pageBreakBefore w:val="0"/>
        <w:spacing w:beforeAutospacing="0" w:afterAutospacing="0" w:line="440" w:lineRule="exact"/>
        <w:tabs>
          <w:tab w:val="left" w:pos="99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（2）采购计划编号：</w:t>
      </w:r>
      <w:r>
        <w:rPr>
          <w:rFonts w:hint="eastAsia" w:ascii="宋体" w:hAnsi="宋体" w:eastAsia="宋体" w:cs="宋体"/>
          <w:color w:val="auto"/>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（3）项目内容：</w:t>
      </w:r>
      <w:r/>
    </w:p>
    <w:p>
      <w:p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采购标的及数量（台/套</w:t>
      </w:r>
      <w:r>
        <w:rPr>
          <w:rFonts w:hint="eastAsia" w:ascii="宋体" w:hAnsi="宋体" w:eastAsia="宋体" w:cs="宋体"/>
          <w:color w:val="auto"/>
          <w:sz w:val="24"/>
          <w:szCs w:val="24"/>
          <w:highlight w:val="none"/>
          <w:lang w:val="en"/>
        </w:rPr>
        <w:t xml:space="preserve">/个/架/组等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numPr>
          <w:ilvl w:val="255"/>
          <w:numId w:val="0"/>
        </w:num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rPr>
        <w:t xml:space="preserve">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en"/>
        </w:rPr>
        <w:t xml:space="preserve">     </w:t>
      </w:r>
      <w:r>
        <w:rPr>
          <w:rFonts w:hint="eastAsia" w:ascii="宋体" w:hAnsi="宋体" w:eastAsia="宋体" w:cs="宋体"/>
          <w:color w:val="auto"/>
          <w:sz w:val="24"/>
          <w:szCs w:val="24"/>
          <w:highlight w:val="none"/>
        </w:rPr>
        <w:t xml:space="preserve">规格型号：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
        </w:rPr>
        <w:t xml:space="preserve">   </w:t>
      </w:r>
      <w:r/>
    </w:p>
    <w:p>
      <w:p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采购标的的技术要求、商务要求具体见附件。</w:t>
      </w:r>
      <w:r/>
    </w:p>
    <w:p>
      <w:pPr>
        <w:numPr>
          <w:ilvl w:val="255"/>
          <w:numId w:val="0"/>
        </w:num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①涉及信息类产品，请填写该产品关键部件的品牌、型号：</w:t>
      </w:r>
      <w:r/>
    </w:p>
    <w:p>
      <w:pPr>
        <w:numPr>
          <w:ilvl w:val="255"/>
          <w:numId w:val="0"/>
        </w:num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标的名称：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
        </w:rPr>
        <w:t xml:space="preserve">               </w:t>
      </w:r>
      <w:r>
        <w:rPr>
          <w:rFonts w:hint="eastAsia" w:ascii="宋体" w:hAnsi="宋体" w:eastAsia="宋体" w:cs="宋体"/>
          <w:color w:val="auto"/>
          <w:sz w:val="24"/>
          <w:szCs w:val="24"/>
          <w:highlight w:val="none"/>
          <w:u w:val="single"/>
        </w:rPr>
        <w:t xml:space="preserve">    </w:t>
      </w:r>
      <w:r/>
    </w:p>
    <w:p>
      <w:pPr>
        <w:numPr>
          <w:ilvl w:val="255"/>
          <w:numId w:val="0"/>
        </w:num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937"/>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937"/>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p>
    <w:p>
      <w:pPr>
        <w:pStyle w:val="937"/>
        <w:numPr>
          <w:ilvl w:val="255"/>
          <w:numId w:val="0"/>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37"/>
        <w:numPr>
          <w:ilvl w:val="255"/>
          <w:numId w:val="0"/>
        </w:num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②涉及车辆采购，请填写是否属于新能源汽车：</w:t>
      </w:r>
      <w:r/>
    </w:p>
    <w:p>
      <w:pPr>
        <w:pStyle w:val="937"/>
        <w:numPr>
          <w:ilvl w:val="255"/>
          <w:numId w:val="0"/>
        </w:num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□是，《政府采购品目分类目录》底级品目名称：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数量：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金额：</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937"/>
        <w:numPr>
          <w:ilvl w:val="255"/>
          <w:numId w:val="0"/>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w:t>
      </w:r>
      <w:r/>
    </w:p>
    <w:p>
      <w:pPr>
        <w:pStyle w:val="937"/>
        <w:numPr>
          <w:ilvl w:val="255"/>
          <w:numId w:val="0"/>
        </w:numPr>
        <w:ind w:left="0" w:right="0" w:hanging="336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4</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组织形式：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政府集中采购   □部门集中采购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分散采购</w:t>
      </w:r>
      <w:r/>
    </w:p>
    <w:p>
      <w:pPr>
        <w:pStyle w:val="937"/>
        <w:numPr>
          <w:ilvl w:val="255"/>
          <w:numId w:val="0"/>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5</w:t>
      </w:r>
      <w:r>
        <w:rPr>
          <w:rFonts w:hint="eastAsia" w:ascii="宋体" w:hAnsi="宋体" w:eastAsia="宋体" w:cs="宋体"/>
          <w:color w:val="auto"/>
          <w:sz w:val="24"/>
          <w:szCs w:val="24"/>
          <w:highlight w:val="none"/>
        </w:rPr>
        <w:t xml:space="preserve">）政府采购方式：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公开招标  □邀请招标  □竞争性谈判</w:t>
      </w:r>
      <w:r/>
    </w:p>
    <w:p>
      <w:pPr>
        <w:pStyle w:val="937"/>
        <w:numPr>
          <w:ilvl w:val="255"/>
          <w:numId w:val="0"/>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□竞争性磋商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□询价  □单一来源  □框架协议  □其他：</w:t>
      </w:r>
      <w:r>
        <w:rPr>
          <w:rFonts w:hint="eastAsia" w:ascii="宋体" w:hAnsi="宋体" w:eastAsia="宋体" w:cs="宋体"/>
          <w:color w:val="auto"/>
          <w:sz w:val="24"/>
          <w:szCs w:val="24"/>
          <w:highlight w:val="none"/>
          <w:u w:val="single"/>
        </w:rPr>
        <w:t xml:space="preserve">          </w:t>
      </w:r>
      <w:r/>
    </w:p>
    <w:p>
      <w:pPr>
        <w:pStyle w:val="937"/>
        <w:numPr>
          <w:ilvl w:val="255"/>
          <w:numId w:val="0"/>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（注：在框架协议采购的第二阶段，可选择使用该合同文本）</w:t>
      </w:r>
      <w:r/>
    </w:p>
    <w:p>
      <w:pPr>
        <w:pStyle w:val="937"/>
        <w:numPr>
          <w:ilvl w:val="255"/>
          <w:numId w:val="0"/>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6</w:t>
      </w:r>
      <w:r>
        <w:rPr>
          <w:rFonts w:hint="eastAsia" w:ascii="宋体" w:hAnsi="宋体" w:eastAsia="宋体" w:cs="宋体"/>
          <w:color w:val="auto"/>
          <w:sz w:val="24"/>
          <w:szCs w:val="24"/>
          <w:highlight w:val="none"/>
        </w:rPr>
        <w:t xml:space="preserve">）中标（成交）采购标的制造商是否为中小企业：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w:t>
      </w:r>
      <w:r/>
    </w:p>
    <w:p>
      <w:pPr>
        <w:pStyle w:val="937"/>
        <w:numPr>
          <w:ilvl w:val="255"/>
          <w:numId w:val="0"/>
        </w:numPr>
        <w:ind w:left="0" w:right="0" w:firstLine="560"/>
        <w:keepLines w:val="0"/>
        <w:keepNext w:val="0"/>
        <w:pageBreakBefore w:val="0"/>
        <w:spacing w:beforeAutospacing="0" w:afterAutospacing="0" w:line="440" w:lineRule="exact"/>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本合同是否为专门面向中小企业的采购合同（中小企业预留合同）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否</w:t>
      </w:r>
      <w:r/>
    </w:p>
    <w:p>
      <w:pPr>
        <w:numPr>
          <w:ilvl w:val="255"/>
          <w:numId w:val="0"/>
        </w:numPr>
        <w:ind w:left="0" w:right="0" w:firstLine="560"/>
        <w:keepLines w:val="0"/>
        <w:keepNext w:val="0"/>
        <w:pageBreakBefore w:val="0"/>
        <w:spacing w:beforeAutospacing="0" w:afterAutospacing="0" w:line="440" w:lineRule="exact"/>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若本项目不专门面向中小企业采购，是否给予小微企业评审优惠：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iCs/>
          <w:color w:val="auto"/>
          <w:sz w:val="24"/>
          <w:szCs w:val="24"/>
          <w:highlight w:val="none"/>
        </w:rPr>
        <w:t xml:space="preserve">否</w:t>
      </w:r>
      <w:r/>
    </w:p>
    <w:p>
      <w:pPr>
        <w:numPr>
          <w:ilvl w:val="255"/>
          <w:numId w:val="0"/>
        </w:numPr>
        <w:ind w:left="0" w:right="0" w:firstLine="56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中标（成交）采购标的制造商是否为残疾人福利性单位：</w:t>
      </w:r>
      <w:r/>
    </w:p>
    <w:p>
      <w:pPr>
        <w:numPr>
          <w:ilvl w:val="255"/>
          <w:numId w:val="0"/>
        </w:numPr>
        <w:ind w:left="0" w:right="0" w:firstLine="560"/>
        <w:keepLines w:val="0"/>
        <w:keepNext w:val="0"/>
        <w:pageBreakBefore w:val="0"/>
        <w:spacing w:beforeAutospacing="0" w:afterAutospacing="0" w:line="440" w:lineRule="exact"/>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iCs/>
          <w:color w:val="auto"/>
          <w:sz w:val="24"/>
          <w:szCs w:val="24"/>
          <w:highlight w:val="none"/>
        </w:rPr>
        <w:t xml:space="preserve">是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否</w:t>
      </w:r>
      <w:r/>
    </w:p>
    <w:p>
      <w:pPr>
        <w:ind w:left="0" w:right="0" w:firstLine="56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中标（成交）采购标的制造商是否为监狱企业：</w:t>
      </w:r>
      <w:r/>
    </w:p>
    <w:p>
      <w:pPr>
        <w:ind w:left="0" w:right="0" w:firstLine="56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iCs/>
          <w:color w:val="auto"/>
          <w:sz w:val="24"/>
          <w:szCs w:val="24"/>
          <w:highlight w:val="none"/>
        </w:rPr>
        <w:t xml:space="preserve">是     </w:t>
      </w:r>
      <w:r>
        <w:rPr>
          <w:rFonts w:hint="eastAsia" w:ascii="宋体" w:hAnsi="宋体" w:eastAsia="宋体" w:cs="宋体"/>
          <w:color w:val="auto"/>
          <w:sz w:val="24"/>
          <w:szCs w:val="24"/>
          <w:highlight w:val="none"/>
        </w:rPr>
        <w:t xml:space="preserve">□</w:t>
      </w:r>
      <w:r>
        <w:rPr>
          <w:rFonts w:hint="eastAsia" w:ascii="宋体" w:hAnsi="宋体" w:eastAsia="宋体" w:cs="宋体"/>
          <w:iCs/>
          <w:color w:val="auto"/>
          <w:sz w:val="24"/>
          <w:szCs w:val="24"/>
          <w:highlight w:val="none"/>
        </w:rPr>
        <w:t xml:space="preserve">否</w:t>
      </w:r>
      <w:r/>
    </w:p>
    <w:p>
      <w:p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7</w:t>
      </w:r>
      <w:r>
        <w:rPr>
          <w:rFonts w:hint="eastAsia" w:ascii="宋体" w:hAnsi="宋体" w:eastAsia="宋体" w:cs="宋体"/>
          <w:color w:val="auto"/>
          <w:sz w:val="24"/>
          <w:szCs w:val="24"/>
          <w:highlight w:val="none"/>
        </w:rPr>
        <w:t xml:space="preserve">）合同是否分包：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是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否</w:t>
      </w:r>
      <w:r/>
    </w:p>
    <w:p>
      <w:pPr>
        <w:ind w:left="0" w:right="0" w:firstLine="56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分包主要内容：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left="0" w:right="0" w:firstLine="56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分包供应商/制造商名称（如供应商和制造商不同，请分别填写）：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left="0" w:right="0" w:firstLine="56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分包供应商/制造商类型（如果供应商和制造商不同，只填写制造商类型）：</w:t>
      </w:r>
      <w:r/>
    </w:p>
    <w:p>
      <w:pPr>
        <w:ind w:left="0" w:right="0" w:firstLine="840"/>
        <w:keepLines w:val="0"/>
        <w:keepNext w:val="0"/>
        <w:pageBreakBefore w:val="0"/>
        <w:spacing w:beforeAutospacing="0" w:afterAutospacing="0" w:line="440" w:lineRule="exac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大型企业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中型企业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小微型企业  </w:t>
      </w:r>
      <w:r/>
    </w:p>
    <w:p>
      <w:pPr>
        <w:ind w:left="0" w:right="0" w:firstLine="840"/>
        <w:keepLines w:val="0"/>
        <w:keepNext w:val="0"/>
        <w:pageBreakBefore w:val="0"/>
        <w:spacing w:beforeAutospacing="0" w:afterAutospacing="0" w:line="440" w:lineRule="exac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残疾人福利性单位 </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监狱企业 </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其他</w:t>
      </w:r>
      <w:r/>
    </w:p>
    <w:p>
      <w:pPr>
        <w:ind w:left="0" w:right="0"/>
        <w:keepLines w:val="0"/>
        <w:keepNext w:val="0"/>
        <w:pageBreakBefore w:val="0"/>
        <w:spacing w:beforeAutospacing="0" w:afterAutospacing="0" w:line="440" w:lineRule="exact"/>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8</w:t>
      </w:r>
      <w:r>
        <w:rPr>
          <w:rFonts w:hint="eastAsia" w:ascii="宋体" w:hAnsi="宋体" w:eastAsia="宋体" w:cs="宋体"/>
          <w:color w:val="auto"/>
          <w:sz w:val="24"/>
          <w:szCs w:val="24"/>
          <w:highlight w:val="none"/>
        </w:rPr>
        <w:t xml:space="preserve">）中标（成交）供应商是否为外商投资企业：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否</w:t>
      </w:r>
      <w:r/>
    </w:p>
    <w:p>
      <w:pPr>
        <w:pStyle w:val="937"/>
        <w:ind w:left="0" w:right="0" w:firstLine="420"/>
        <w:keepLines w:val="0"/>
        <w:keepNext w:val="0"/>
        <w:pageBreakBefore w:val="0"/>
        <w:spacing w:beforeAutospacing="0" w:afterAutospacing="0" w:line="440" w:lineRule="exact"/>
        <w:tabs>
          <w:tab w:val="left" w:pos="134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外商投资企业类型：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全部由外国投资者投资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部分由外国投资者投资</w:t>
      </w:r>
      <w:r/>
    </w:p>
    <w:p>
      <w:pPr>
        <w:numPr>
          <w:ilvl w:val="0"/>
          <w:numId w:val="11"/>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是否涉及进口产品：</w:t>
      </w:r>
      <w:r/>
    </w:p>
    <w:p>
      <w:pPr>
        <w:numPr>
          <w:ilvl w:val="0"/>
          <w:numId w:val="0"/>
        </w:numPr>
        <w:ind w:left="0" w:right="0" w:firstLine="56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是，《政府采购品目分类目录》底级品目名称：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国别：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规格型号：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right="0" w:firstLine="56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w:t>
      </w:r>
      <w:r/>
    </w:p>
    <w:p>
      <w:pPr>
        <w:numPr>
          <w:ilvl w:val="255"/>
          <w:numId w:val="0"/>
        </w:numPr>
        <w:ind w:left="0" w:right="0"/>
        <w:keepLines w:val="0"/>
        <w:keepNext w:val="0"/>
        <w:pageBreakBefore w:val="0"/>
        <w:spacing w:beforeAutospacing="0" w:afterAutospacing="0" w:line="440" w:lineRule="exact"/>
        <w:tabs>
          <w:tab w:val="left" w:pos="7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w:t>
      </w:r>
      <w:r>
        <w:rPr>
          <w:rFonts w:hint="eastAsia" w:ascii="宋体" w:hAnsi="宋体" w:eastAsia="宋体" w:cs="宋体"/>
          <w:color w:val="auto"/>
          <w:sz w:val="24"/>
          <w:szCs w:val="24"/>
          <w:highlight w:val="none"/>
          <w:lang w:val="en"/>
        </w:rPr>
        <w:t xml:space="preserve">0</w:t>
      </w:r>
      <w:r>
        <w:rPr>
          <w:rFonts w:hint="eastAsia" w:ascii="宋体" w:hAnsi="宋体" w:eastAsia="宋体" w:cs="宋体"/>
          <w:color w:val="auto"/>
          <w:sz w:val="24"/>
          <w:szCs w:val="24"/>
          <w:highlight w:val="none"/>
        </w:rPr>
        <w:t xml:space="preserve">）是否涉及节能产品：</w:t>
      </w:r>
      <w:r/>
    </w:p>
    <w:p>
      <w:pPr>
        <w:numPr>
          <w:ilvl w:val="255"/>
          <w:numId w:val="0"/>
        </w:numPr>
        <w:ind w:left="0" w:right="0"/>
        <w:keepLines w:val="0"/>
        <w:keepNext w:val="0"/>
        <w:pageBreakBefore w:val="0"/>
        <w:spacing w:beforeAutospacing="0" w:afterAutospacing="0" w:line="440" w:lineRule="exact"/>
        <w:tabs>
          <w:tab w:val="left" w:pos="740" w:leader="none"/>
        </w:tabs>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是，《节能产品政府采购品目清单》的底级品目名称：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iCs/>
          <w:color w:val="auto"/>
          <w:sz w:val="24"/>
          <w:szCs w:val="24"/>
          <w:highlight w:val="none"/>
        </w:rPr>
        <w:t xml:space="preserve">     </w:t>
      </w:r>
      <w:r/>
    </w:p>
    <w:p>
      <w:pPr>
        <w:numPr>
          <w:ilvl w:val="255"/>
          <w:numId w:val="0"/>
        </w:numPr>
        <w:ind w:left="0" w:right="0"/>
        <w:keepLines w:val="0"/>
        <w:keepNext w:val="0"/>
        <w:pageBreakBefore w:val="0"/>
        <w:spacing w:beforeAutospacing="0" w:afterAutospacing="0" w:line="440" w:lineRule="exact"/>
        <w:tabs>
          <w:tab w:val="left" w:pos="740" w:leader="none"/>
        </w:tabs>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     </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强制采购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优先采购    </w:t>
      </w:r>
      <w:r/>
    </w:p>
    <w:p>
      <w:pPr>
        <w:numPr>
          <w:ilvl w:val="255"/>
          <w:numId w:val="0"/>
        </w:numPr>
        <w:ind w:left="0" w:right="0"/>
        <w:keepLines w:val="0"/>
        <w:keepNext w:val="0"/>
        <w:pageBreakBefore w:val="0"/>
        <w:spacing w:beforeAutospacing="0" w:afterAutospacing="0" w:line="440" w:lineRule="exact"/>
        <w:tabs>
          <w:tab w:val="left" w:pos="740" w:leader="none"/>
        </w:tabs>
        <w:rPr>
          <w:rFonts w:hint="eastAsia" w:ascii="宋体" w:hAnsi="宋体" w:eastAsia="宋体" w:cs="宋体"/>
          <w:color w:val="auto"/>
          <w:sz w:val="24"/>
          <w:szCs w:val="24"/>
          <w:highlight w:val="none"/>
        </w:rPr>
      </w:pPr>
      <w:r>
        <w:rPr>
          <w:rFonts w:hint="eastAsia" w:ascii="宋体" w:hAnsi="宋体" w:eastAsia="宋体" w:cs="宋体"/>
          <w:i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w:t>
      </w:r>
      <w:r/>
    </w:p>
    <w:p>
      <w:pPr>
        <w:numPr>
          <w:ilvl w:val="255"/>
          <w:numId w:val="0"/>
        </w:numPr>
        <w:ind w:left="0" w:right="0"/>
        <w:keepLines w:val="0"/>
        <w:keepNext w:val="0"/>
        <w:pageBreakBefore w:val="0"/>
        <w:spacing w:beforeAutospacing="0" w:afterAutospacing="0" w:line="440" w:lineRule="exact"/>
        <w:tabs>
          <w:tab w:val="left" w:pos="7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是否涉及环境标志产品：</w:t>
      </w:r>
      <w:r/>
    </w:p>
    <w:p>
      <w:pPr>
        <w:numPr>
          <w:ilvl w:val="255"/>
          <w:numId w:val="0"/>
        </w:numPr>
        <w:ind w:left="0" w:right="0" w:firstLine="560"/>
        <w:keepLines w:val="0"/>
        <w:keepNext w:val="0"/>
        <w:pageBreakBefore w:val="0"/>
        <w:spacing w:beforeAutospacing="0" w:afterAutospacing="0" w:line="440" w:lineRule="exact"/>
        <w:tabs>
          <w:tab w:val="left" w:pos="7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是，《环境标志产品政府采购品目清单》的底级品目名称：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iCs/>
          <w:color w:val="auto"/>
          <w:sz w:val="24"/>
          <w:szCs w:val="24"/>
          <w:highlight w:val="none"/>
        </w:rPr>
        <w:t xml:space="preserve"> </w:t>
      </w:r>
      <w:r/>
    </w:p>
    <w:p>
      <w:pPr>
        <w:numPr>
          <w:ilvl w:val="255"/>
          <w:numId w:val="0"/>
        </w:numPr>
        <w:ind w:left="0" w:right="0"/>
        <w:keepLines w:val="0"/>
        <w:keepNext w:val="0"/>
        <w:pageBreakBefore w:val="0"/>
        <w:spacing w:beforeAutospacing="0" w:afterAutospacing="0" w:line="440" w:lineRule="exact"/>
        <w:tabs>
          <w:tab w:val="left" w:pos="740" w:leader="none"/>
        </w:tabs>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强制采购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优先采购    </w:t>
      </w:r>
      <w:r/>
    </w:p>
    <w:p>
      <w:pPr>
        <w:numPr>
          <w:ilvl w:val="255"/>
          <w:numId w:val="0"/>
        </w:numPr>
        <w:ind w:left="0" w:right="0"/>
        <w:keepLines w:val="0"/>
        <w:keepNext w:val="0"/>
        <w:pageBreakBefore w:val="0"/>
        <w:spacing w:beforeAutospacing="0" w:afterAutospacing="0" w:line="440" w:lineRule="exact"/>
        <w:tabs>
          <w:tab w:val="left" w:pos="740" w:leader="none"/>
        </w:tabs>
        <w:rPr>
          <w:rFonts w:hint="eastAsia" w:ascii="宋体" w:hAnsi="宋体" w:eastAsia="宋体" w:cs="宋体"/>
          <w:color w:val="auto"/>
          <w:sz w:val="24"/>
          <w:szCs w:val="24"/>
          <w:highlight w:val="none"/>
        </w:rPr>
      </w:pPr>
      <w:r>
        <w:rPr>
          <w:rFonts w:hint="eastAsia" w:ascii="宋体" w:hAnsi="宋体" w:eastAsia="宋体" w:cs="宋体"/>
          <w:i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w:t>
      </w:r>
      <w:r/>
    </w:p>
    <w:p>
      <w:pPr>
        <w:pStyle w:val="937"/>
        <w:numPr>
          <w:ilvl w:val="255"/>
          <w:numId w:val="0"/>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是否涉及绿色产品： </w:t>
      </w:r>
      <w:r/>
    </w:p>
    <w:p>
      <w:pPr>
        <w:pStyle w:val="937"/>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是，绿色产品政府采购相关政策确定的底级品目名称：</w:t>
      </w:r>
      <w:r>
        <w:rPr>
          <w:rFonts w:hint="eastAsia" w:ascii="宋体" w:hAnsi="宋体" w:eastAsia="宋体" w:cs="宋体"/>
          <w:color w:val="auto"/>
          <w:sz w:val="24"/>
          <w:szCs w:val="24"/>
          <w:highlight w:val="none"/>
          <w:u w:val="single"/>
        </w:rPr>
        <w:t xml:space="preserve">         </w:t>
      </w:r>
      <w:r/>
    </w:p>
    <w:p>
      <w:pPr>
        <w:numPr>
          <w:ilvl w:val="255"/>
          <w:numId w:val="0"/>
        </w:numPr>
        <w:ind w:left="0" w:right="0"/>
        <w:keepLines w:val="0"/>
        <w:keepNext w:val="0"/>
        <w:pageBreakBefore w:val="0"/>
        <w:spacing w:beforeAutospacing="0" w:afterAutospacing="0" w:line="440" w:lineRule="exact"/>
        <w:tabs>
          <w:tab w:val="left" w:pos="740" w:leader="none"/>
        </w:tabs>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强制采购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优先采购    </w:t>
      </w:r>
      <w:r/>
    </w:p>
    <w:p>
      <w:pPr>
        <w:pStyle w:val="937"/>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w:t>
      </w:r>
      <w:r/>
    </w:p>
    <w:p>
      <w:pPr>
        <w:pStyle w:val="937"/>
        <w:ind w:left="0" w:right="0" w:firstLine="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
        </w:rPr>
        <w:t xml:space="preserve">1</w:t>
      </w:r>
      <w:r>
        <w:rPr>
          <w:rFonts w:hint="eastAsia" w:ascii="宋体" w:hAnsi="宋体" w:eastAsia="宋体" w:cs="宋体"/>
          <w:color w:val="auto"/>
          <w:sz w:val="24"/>
          <w:szCs w:val="24"/>
          <w:highlight w:val="none"/>
        </w:rPr>
        <w:t xml:space="preserve">）涉及商品包装和快递包装的，是否参考《商品包装政府采购需求标准（试行）</w:t>
      </w:r>
      <w:r>
        <w:rPr>
          <w:rFonts w:hint="eastAsia" w:ascii="宋体" w:hAnsi="宋体" w:eastAsia="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《快递包装政府采购需求标准（试行）》明确产品及相关快递服务的具体包装要求：</w:t>
      </w:r>
      <w:r/>
    </w:p>
    <w:p>
      <w:pPr>
        <w:numPr>
          <w:ilvl w:val="255"/>
          <w:numId w:val="0"/>
        </w:numPr>
        <w:ind w:left="0" w:right="0" w:firstLine="105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不涉及</w:t>
      </w:r>
      <w:r/>
    </w:p>
    <w:p>
      <w:pPr>
        <w:numPr>
          <w:ilvl w:val="0"/>
          <w:numId w:val="0"/>
        </w:numPr>
        <w:ind w:left="0" w:right="0" w:firstLine="422"/>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2.</w:t>
      </w:r>
      <w:r>
        <w:rPr>
          <w:rFonts w:hint="eastAsia" w:ascii="宋体" w:hAnsi="宋体" w:eastAsia="宋体" w:cs="宋体"/>
          <w:b/>
          <w:color w:val="auto"/>
          <w:sz w:val="24"/>
          <w:szCs w:val="24"/>
          <w:highlight w:val="none"/>
        </w:rPr>
        <w:t xml:space="preserve">合同金额</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（1）合同金额小写：</w:t>
      </w:r>
      <w:r>
        <w:rPr>
          <w:rFonts w:hint="eastAsia" w:ascii="宋体" w:hAnsi="宋体" w:eastAsia="宋体" w:cs="宋体"/>
          <w:color w:val="auto"/>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大写：</w:t>
      </w:r>
      <w:r>
        <w:rPr>
          <w:rFonts w:hint="eastAsia" w:ascii="宋体" w:hAnsi="宋体" w:eastAsia="宋体" w:cs="宋体"/>
          <w:color w:val="auto"/>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分包金额（如有）小写：</w:t>
      </w:r>
      <w:r>
        <w:rPr>
          <w:rFonts w:hint="eastAsia" w:ascii="宋体" w:hAnsi="宋体" w:eastAsia="宋体" w:cs="宋体"/>
          <w:color w:val="auto"/>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大写：</w:t>
      </w:r>
      <w:r>
        <w:rPr>
          <w:rFonts w:hint="eastAsia" w:ascii="宋体" w:hAnsi="宋体" w:eastAsia="宋体" w:cs="宋体"/>
          <w:color w:val="auto"/>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（注：固定单价合同应填写单价和最高限价）</w:t>
      </w:r>
      <w:r/>
    </w:p>
    <w:p>
      <w:pPr>
        <w:numPr>
          <w:ilvl w:val="255"/>
          <w:numId w:val="0"/>
        </w:numPr>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（2）合同定价方式（采用组合定价方式的，可以勾选多项）：</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i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固定总价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固定单价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固定费率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成本补偿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绩效激励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其他</w:t>
      </w:r>
      <w:r>
        <w:rPr>
          <w:rFonts w:hint="eastAsia" w:ascii="宋体" w:hAnsi="宋体" w:eastAsia="宋体" w:cs="宋体"/>
          <w:color w:val="auto"/>
          <w:sz w:val="24"/>
          <w:szCs w:val="24"/>
          <w:highlight w:val="none"/>
          <w:u w:val="single"/>
        </w:rPr>
        <w:t xml:space="preserve">       </w:t>
      </w:r>
      <w:r/>
    </w:p>
    <w:p>
      <w:pPr>
        <w:pStyle w:val="938"/>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（3）付款方式：</w:t>
      </w:r>
      <w:r/>
    </w:p>
    <w:p>
      <w:pPr>
        <w:ind w:left="0" w:right="0" w:firstLine="63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全额付款：</w:t>
      </w:r>
      <w:r>
        <w:rPr>
          <w:rFonts w:hint="eastAsia" w:ascii="宋体" w:hAnsi="宋体" w:eastAsia="宋体" w:cs="宋体"/>
          <w:color w:val="auto"/>
          <w:sz w:val="24"/>
          <w:szCs w:val="24"/>
          <w:highlight w:val="none"/>
          <w:u w:val="single"/>
        </w:rPr>
        <w:t xml:space="preserve">     （应明确一次性支付合同款项的条件）                    </w:t>
      </w:r>
      <w:r/>
    </w:p>
    <w:p>
      <w:pPr>
        <w:ind w:left="0" w:right="0" w:firstLine="63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分期付款：</w:t>
      </w:r>
      <w:r>
        <w:rPr>
          <w:rFonts w:hint="eastAsia" w:ascii="宋体" w:hAnsi="宋体" w:eastAsia="宋体" w:cs="宋体"/>
          <w:color w:val="auto"/>
          <w:sz w:val="24"/>
          <w:szCs w:val="24"/>
          <w:highlight w:val="none"/>
          <w:u w:val="single"/>
        </w:rPr>
        <w:t xml:space="preserve">设备全部安装调试完毕稳定运行后，</w:t>
      </w:r>
      <w:r>
        <w:rPr>
          <w:rFonts w:hint="eastAsia" w:ascii="宋体" w:hAnsi="宋体" w:cs="宋体"/>
          <w:color w:val="auto"/>
          <w:sz w:val="24"/>
          <w:szCs w:val="24"/>
          <w:highlight w:val="none"/>
          <w:u w:val="single"/>
          <w:lang w:val="en-US" w:eastAsia="zh-CN"/>
        </w:rPr>
        <w:t xml:space="preserve">中标人</w:t>
      </w:r>
      <w:r>
        <w:rPr>
          <w:rFonts w:hint="eastAsia" w:ascii="宋体" w:hAnsi="宋体" w:eastAsia="宋体" w:cs="宋体"/>
          <w:color w:val="auto"/>
          <w:sz w:val="24"/>
          <w:szCs w:val="24"/>
          <w:highlight w:val="none"/>
          <w:u w:val="single"/>
        </w:rPr>
        <w:t xml:space="preserve">提供项目完整技术文档，采购人组织验收并出具验收报告，在收到</w:t>
      </w:r>
      <w:r>
        <w:rPr>
          <w:rFonts w:hint="eastAsia" w:ascii="宋体" w:hAnsi="宋体" w:cs="宋体"/>
          <w:color w:val="auto"/>
          <w:sz w:val="24"/>
          <w:szCs w:val="24"/>
          <w:highlight w:val="none"/>
          <w:u w:val="single"/>
          <w:lang w:val="en-US" w:eastAsia="zh-CN"/>
        </w:rPr>
        <w:t xml:space="preserve">中标人</w:t>
      </w:r>
      <w:r>
        <w:rPr>
          <w:rFonts w:hint="eastAsia" w:ascii="宋体" w:hAnsi="宋体" w:eastAsia="宋体" w:cs="宋体"/>
          <w:color w:val="auto"/>
          <w:sz w:val="24"/>
          <w:szCs w:val="24"/>
          <w:highlight w:val="none"/>
          <w:u w:val="single"/>
        </w:rPr>
        <w:t xml:space="preserve">发票后10个工作日内支付至合同总额的100%</w:t>
      </w:r>
      <w:r>
        <w:rPr>
          <w:rFonts w:hint="eastAsia" w:ascii="宋体" w:hAnsi="宋体" w:eastAsia="宋体" w:cs="宋体"/>
          <w:color w:val="auto"/>
          <w:sz w:val="24"/>
          <w:szCs w:val="24"/>
          <w:highlight w:val="none"/>
        </w:rPr>
        <w:t xml:space="preserve">，其中涉及预付款的：</w:t>
      </w:r>
      <w:r>
        <w:rPr>
          <w:rFonts w:hint="eastAsia" w:ascii="宋体" w:hAnsi="宋体" w:eastAsia="宋体" w:cs="宋体"/>
          <w:color w:val="auto"/>
          <w:sz w:val="24"/>
          <w:szCs w:val="24"/>
          <w:highlight w:val="none"/>
          <w:u w:val="single"/>
          <w:lang w:val="zh-CN"/>
        </w:rPr>
        <w:t xml:space="preserve">签订合同后，</w:t>
      </w:r>
      <w:r>
        <w:rPr>
          <w:rFonts w:hint="eastAsia" w:ascii="宋体" w:hAnsi="宋体" w:eastAsia="宋体" w:cs="宋体"/>
          <w:color w:val="auto"/>
          <w:sz w:val="24"/>
          <w:szCs w:val="24"/>
          <w:highlight w:val="none"/>
          <w:u w:val="single"/>
        </w:rPr>
        <w:t xml:space="preserve">自收到</w:t>
      </w:r>
      <w:r>
        <w:rPr>
          <w:rFonts w:hint="eastAsia" w:ascii="宋体" w:hAnsi="宋体" w:cs="宋体"/>
          <w:color w:val="auto"/>
          <w:sz w:val="24"/>
          <w:szCs w:val="24"/>
          <w:highlight w:val="none"/>
          <w:u w:val="single"/>
          <w:lang w:val="en-US" w:eastAsia="zh-CN"/>
        </w:rPr>
        <w:t xml:space="preserve">中标人</w:t>
      </w:r>
      <w:r>
        <w:rPr>
          <w:rFonts w:hint="eastAsia" w:ascii="宋体" w:hAnsi="宋体" w:eastAsia="宋体" w:cs="宋体"/>
          <w:color w:val="auto"/>
          <w:sz w:val="24"/>
          <w:szCs w:val="24"/>
          <w:highlight w:val="none"/>
          <w:u w:val="single"/>
        </w:rPr>
        <w:t xml:space="preserve">发票后10个工作日内</w:t>
      </w:r>
      <w:r>
        <w:rPr>
          <w:rFonts w:hint="eastAsia" w:ascii="宋体" w:hAnsi="宋体" w:eastAsia="宋体" w:cs="宋体"/>
          <w:color w:val="auto"/>
          <w:sz w:val="24"/>
          <w:szCs w:val="24"/>
          <w:highlight w:val="none"/>
          <w:u w:val="single"/>
          <w:lang w:val="zh-CN"/>
        </w:rPr>
        <w:t xml:space="preserve">支付</w:t>
      </w:r>
      <w:r>
        <w:rPr>
          <w:rFonts w:hint="eastAsia" w:ascii="宋体" w:hAnsi="宋体" w:eastAsia="宋体" w:cs="宋体"/>
          <w:color w:val="auto"/>
          <w:sz w:val="24"/>
          <w:szCs w:val="24"/>
          <w:highlight w:val="none"/>
          <w:u w:val="single"/>
          <w:lang w:val="en-US" w:eastAsia="zh-CN"/>
        </w:rPr>
        <w:t xml:space="preserve">预算金额</w:t>
      </w:r>
      <w:r>
        <w:rPr>
          <w:rFonts w:hint="eastAsia" w:ascii="宋体" w:hAnsi="宋体" w:eastAsia="宋体" w:cs="宋体"/>
          <w:color w:val="auto"/>
          <w:sz w:val="24"/>
          <w:szCs w:val="24"/>
          <w:highlight w:val="none"/>
          <w:u w:val="single"/>
          <w:lang w:val="zh-CN"/>
        </w:rPr>
        <w:t xml:space="preserve">的30%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630"/>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（1）可以采用数字人民币支付。</w:t>
      </w:r>
      <w:r/>
    </w:p>
    <w:p>
      <w:pPr>
        <w:ind w:left="0" w:right="0" w:firstLine="630"/>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（2）资金支付的时间：收到供应商发票10个工作日内。</w:t>
      </w:r>
      <w:r/>
    </w:p>
    <w:p>
      <w:pPr>
        <w:ind w:left="0" w:right="0" w:firstLine="630"/>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（3）资金支付的条件：满足相应阶段的要求且收到供应商发票。</w:t>
      </w:r>
      <w:r/>
    </w:p>
    <w:p>
      <w:pPr>
        <w:ind w:left="0" w:right="0" w:firstLine="630"/>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（4）甲方根据乙方的实际供货数量按实结算，且不超过每分包总预算金额。</w:t>
      </w:r>
      <w:r/>
    </w:p>
    <w:p>
      <w:pPr>
        <w:ind w:left="0" w:right="0" w:firstLine="630"/>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（5）在签订合同时，供应商明确表示无需预付款或者主动要求降低预付款比例的，采购人可不适用前述规定。</w:t>
      </w:r>
      <w:r/>
    </w:p>
    <w:p>
      <w:pPr>
        <w:ind w:left="0" w:right="0" w:firstLine="63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成本补偿：</w:t>
      </w:r>
      <w:r>
        <w:rPr>
          <w:rFonts w:hint="eastAsia" w:ascii="宋体" w:hAnsi="宋体" w:eastAsia="宋体" w:cs="宋体"/>
          <w:color w:val="auto"/>
          <w:sz w:val="24"/>
          <w:szCs w:val="24"/>
          <w:highlight w:val="none"/>
          <w:u w:val="single"/>
        </w:rPr>
        <w:t xml:space="preserve">（应明确按照成本补偿方式的支付方式和支付条件）</w:t>
      </w:r>
      <w:r/>
    </w:p>
    <w:p>
      <w:pPr>
        <w:ind w:left="0" w:right="0" w:firstLine="63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绩效激励：</w:t>
      </w:r>
      <w:r>
        <w:rPr>
          <w:rFonts w:hint="eastAsia" w:ascii="宋体" w:hAnsi="宋体" w:eastAsia="宋体" w:cs="宋体"/>
          <w:color w:val="auto"/>
          <w:sz w:val="24"/>
          <w:szCs w:val="24"/>
          <w:highlight w:val="none"/>
          <w:u w:val="single"/>
        </w:rPr>
        <w:t xml:space="preserve">（应明确按照绩效激励方式的支付方式和支付条件）</w:t>
      </w:r>
      <w:r/>
    </w:p>
    <w:p>
      <w:pPr>
        <w:numPr>
          <w:ilvl w:val="0"/>
          <w:numId w:val="0"/>
        </w:numPr>
        <w:ind w:left="0" w:right="0" w:firstLine="422"/>
        <w:keepLines w:val="0"/>
        <w:keepNext w:val="0"/>
        <w:pageBreakBefore w:val="0"/>
        <w:spacing w:beforeAutospacing="0" w:afterAutospacing="0" w:line="44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lang w:val="en-US" w:eastAsia="zh-CN" w:bidi="ar-SA"/>
        </w:rPr>
        <w:t xml:space="preserve">3.</w:t>
      </w:r>
      <w:r>
        <w:rPr>
          <w:rFonts w:hint="eastAsia" w:ascii="宋体" w:hAnsi="宋体" w:eastAsia="宋体" w:cs="宋体"/>
          <w:b/>
          <w:color w:val="auto"/>
          <w:sz w:val="24"/>
          <w:szCs w:val="24"/>
          <w:highlight w:val="none"/>
        </w:rPr>
        <w:t xml:space="preserve">合同履行</w:t>
      </w:r>
      <w:r/>
    </w:p>
    <w:p>
      <w:pPr>
        <w:numPr>
          <w:ilvl w:val="0"/>
          <w:numId w:val="0"/>
        </w:numPr>
        <w:ind w:left="0" w:right="0" w:firstLine="420"/>
        <w:keepLines w:val="0"/>
        <w:keepNext w:val="0"/>
        <w:pageBreakBefore w:val="0"/>
        <w:spacing w:beforeAutospacing="0" w:afterAutospacing="0" w:line="440" w:lineRule="exact"/>
        <w:rPr>
          <w:rFonts w:hint="eastAsia" w:ascii="宋体" w:hAnsi="宋体" w:eastAsia="宋体" w:cs="宋体"/>
          <w:b/>
          <w:color w:val="auto"/>
          <w:sz w:val="24"/>
          <w:szCs w:val="24"/>
          <w:highlight w:val="none"/>
          <w:u w:val="single"/>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u w:val="none"/>
          <w:lang w:eastAsia="zh-CN"/>
        </w:rPr>
        <w:t xml:space="preserve">交货时间：</w:t>
      </w:r>
      <w:r>
        <w:rPr>
          <w:rFonts w:hint="eastAsia" w:ascii="宋体" w:hAnsi="宋体" w:eastAsia="宋体" w:cs="宋体"/>
          <w:bCs/>
          <w:color w:val="auto"/>
          <w:sz w:val="24"/>
          <w:szCs w:val="24"/>
          <w:highlight w:val="none"/>
          <w:u w:val="single"/>
          <w:lang w:eastAsia="zh-CN"/>
        </w:rPr>
        <w:t xml:space="preserve">采购合同签订后</w:t>
      </w:r>
      <w:r>
        <w:rPr>
          <w:rFonts w:hint="eastAsia" w:ascii="宋体" w:hAnsi="宋体" w:cs="宋体"/>
          <w:bCs/>
          <w:color w:val="auto"/>
          <w:sz w:val="24"/>
          <w:szCs w:val="24"/>
          <w:highlight w:val="none"/>
          <w:u w:val="single"/>
          <w:lang w:val="en-US" w:eastAsia="zh-CN"/>
        </w:rPr>
        <w:t xml:space="preserve">45</w:t>
      </w:r>
      <w:r>
        <w:rPr>
          <w:rFonts w:hint="eastAsia" w:ascii="宋体" w:hAnsi="宋体" w:eastAsia="宋体" w:cs="宋体"/>
          <w:bCs/>
          <w:color w:val="auto"/>
          <w:sz w:val="24"/>
          <w:szCs w:val="24"/>
          <w:highlight w:val="none"/>
          <w:u w:val="single"/>
          <w:lang w:eastAsia="zh-CN"/>
        </w:rPr>
        <w:t xml:space="preserve">日历天内全部供货安装完毕并交付使用</w:t>
      </w:r>
      <w:r>
        <w:rPr>
          <w:rFonts w:hint="eastAsia" w:ascii="宋体" w:hAnsi="宋体" w:eastAsia="宋体" w:cs="宋体"/>
          <w:bCs/>
          <w:color w:val="auto"/>
          <w:sz w:val="24"/>
          <w:szCs w:val="24"/>
          <w:highlight w:val="none"/>
          <w:u w:val="none"/>
          <w:lang w:eastAsia="zh-CN"/>
        </w:rPr>
        <w:t xml:space="preserve">。</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交货</w:t>
      </w:r>
      <w:r>
        <w:rPr>
          <w:rFonts w:hint="eastAsia" w:ascii="宋体" w:hAnsi="宋体" w:eastAsia="宋体" w:cs="宋体"/>
          <w:color w:val="auto"/>
          <w:sz w:val="24"/>
          <w:szCs w:val="24"/>
          <w:highlight w:val="none"/>
        </w:rPr>
        <w:t xml:space="preserve">地点</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采购人指定地点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（3）履约担保：</w:t>
      </w:r>
      <w:r>
        <w:rPr>
          <w:rFonts w:hint="eastAsia" w:ascii="宋体" w:hAnsi="宋体" w:eastAsia="宋体" w:cs="宋体"/>
          <w:color w:val="auto"/>
          <w:sz w:val="24"/>
          <w:szCs w:val="24"/>
          <w:highlight w:val="none"/>
        </w:rPr>
        <w:t xml:space="preserve">是否收取履约保证金：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w:t>
      </w:r>
      <w:r/>
    </w:p>
    <w:p>
      <w:pPr>
        <w:pStyle w:val="937"/>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收取履约保证金形式：</w:t>
      </w:r>
      <w:r>
        <w:rPr>
          <w:rFonts w:hint="eastAsia" w:ascii="宋体" w:hAnsi="宋体" w:eastAsia="宋体" w:cs="宋体"/>
          <w:bCs/>
          <w:color w:val="auto"/>
          <w:sz w:val="24"/>
          <w:szCs w:val="24"/>
          <w:highlight w:val="none"/>
          <w:u w:val="single"/>
        </w:rPr>
        <w:t xml:space="preserve">                            </w:t>
      </w:r>
      <w:r/>
    </w:p>
    <w:p>
      <w:pPr>
        <w:pStyle w:val="937"/>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收取履约保证金金额：</w:t>
      </w:r>
      <w:r>
        <w:rPr>
          <w:rFonts w:hint="eastAsia" w:ascii="宋体" w:hAnsi="宋体" w:eastAsia="宋体" w:cs="宋体"/>
          <w:color w:val="auto"/>
          <w:sz w:val="24"/>
          <w:szCs w:val="24"/>
          <w:highlight w:val="none"/>
          <w:u w:val="single"/>
          <w:lang w:val="en-US" w:eastAsia="zh-CN"/>
        </w:rPr>
        <w:t xml:space="preserve">                            </w:t>
      </w:r>
      <w:r/>
    </w:p>
    <w:p>
      <w:pPr>
        <w:ind w:left="0" w:right="0" w:firstLine="420"/>
        <w:keepLines w:val="0"/>
        <w:keepNext w:val="0"/>
        <w:pageBreakBefore w:val="0"/>
        <w:spacing w:beforeAutospacing="0" w:afterAutospacing="0"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履约担保期限：</w:t>
      </w:r>
      <w:r>
        <w:rPr>
          <w:rFonts w:hint="eastAsia" w:ascii="宋体" w:hAnsi="宋体" w:eastAsia="宋体" w:cs="宋体"/>
          <w:bCs/>
          <w:color w:val="auto"/>
          <w:sz w:val="24"/>
          <w:szCs w:val="24"/>
          <w:highlight w:val="none"/>
          <w:u w:val="single"/>
        </w:rPr>
        <w:t xml:space="preserve">                                  </w:t>
      </w:r>
      <w:r/>
    </w:p>
    <w:p>
      <w:pPr>
        <w:numPr>
          <w:ilvl w:val="0"/>
          <w:numId w:val="12"/>
        </w:numPr>
        <w:ind w:left="0" w:right="0" w:firstLine="422"/>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合同验收</w:t>
      </w:r>
      <w:r/>
    </w:p>
    <w:p>
      <w:pPr>
        <w:numPr>
          <w:ilvl w:val="0"/>
          <w:numId w:val="13"/>
        </w:numPr>
        <w:ind w:left="0" w:right="0" w:firstLine="56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验收组织方式：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自行组织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委托第三方组织</w:t>
      </w:r>
      <w:r/>
    </w:p>
    <w:p>
      <w:pPr>
        <w:numPr>
          <w:ilvl w:val="0"/>
          <w:numId w:val="0"/>
        </w:numPr>
        <w:ind w:left="0" w:right="0" w:firstLine="56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验收主体：</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eastAsia="zh-CN"/>
        </w:rPr>
        <w:t xml:space="preserve">泗洪姜堰实验学校</w:t>
      </w:r>
      <w:r>
        <w:rPr>
          <w:rFonts w:hint="eastAsia" w:ascii="宋体" w:hAnsi="宋体" w:eastAsia="宋体" w:cs="宋体"/>
          <w:bCs/>
          <w:color w:val="auto"/>
          <w:sz w:val="24"/>
          <w:szCs w:val="24"/>
          <w:highlight w:val="none"/>
          <w:u w:val="single"/>
        </w:rPr>
        <w:t xml:space="preserve"> </w:t>
      </w:r>
      <w:r/>
    </w:p>
    <w:p>
      <w:pPr>
        <w:ind w:left="0" w:right="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是否邀请本项目的其他供应商参加验收：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w:t>
      </w:r>
      <w:r/>
    </w:p>
    <w:p>
      <w:pPr>
        <w:ind w:left="0" w:right="0" w:firstLine="56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是否邀请专家参加验收：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w:t>
      </w:r>
      <w:r/>
    </w:p>
    <w:p>
      <w:pPr>
        <w:ind w:left="0" w:right="0" w:firstLine="56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是否邀请服务对象参加验收：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w:t>
      </w:r>
      <w:r/>
    </w:p>
    <w:p>
      <w:pPr>
        <w:ind w:left="0" w:right="0" w:firstLine="56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是否邀请第三方检测机构参加验收：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w:t>
      </w:r>
      <w:r/>
    </w:p>
    <w:p>
      <w:pPr>
        <w:ind w:left="0" w:right="0" w:firstLine="56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是否进行抽查检测：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是，抽查比例：</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w:t>
      </w:r>
      <w:r/>
    </w:p>
    <w:p>
      <w:pPr>
        <w:ind w:left="0" w:right="0" w:firstLine="560"/>
        <w:keepLines w:val="0"/>
        <w:keepNext w:val="0"/>
        <w:pageBreakBefore w:val="0"/>
        <w:spacing w:beforeAutospacing="0" w:afterAutospacing="0"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是否存在破坏性检测：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是，</w:t>
      </w:r>
      <w:r>
        <w:rPr>
          <w:rFonts w:hint="eastAsia" w:ascii="宋体" w:hAnsi="宋体" w:eastAsia="宋体" w:cs="宋体"/>
          <w:bCs/>
          <w:color w:val="auto"/>
          <w:sz w:val="24"/>
          <w:szCs w:val="24"/>
          <w:highlight w:val="none"/>
          <w:u w:val="single"/>
        </w:rPr>
        <w:t xml:space="preserve">（应明确对被破坏的检测产品的处理方式）</w:t>
      </w:r>
      <w:r/>
    </w:p>
    <w:p>
      <w:pPr>
        <w:ind w:left="0" w:right="0" w:firstLine="56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w:t>
      </w:r>
      <w:r/>
    </w:p>
    <w:p>
      <w:pPr>
        <w:ind w:left="0" w:right="0" w:firstLine="560"/>
        <w:keepLines w:val="0"/>
        <w:keepNext w:val="0"/>
        <w:pageBreakBefore w:val="0"/>
        <w:spacing w:beforeAutospacing="0" w:afterAutospacing="0"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验收组织的其他事项：</w:t>
      </w:r>
      <w:r>
        <w:rPr>
          <w:rFonts w:hint="eastAsia" w:ascii="宋体" w:hAnsi="宋体" w:eastAsia="宋体" w:cs="宋体"/>
          <w:bCs/>
          <w:color w:val="auto"/>
          <w:sz w:val="24"/>
          <w:szCs w:val="24"/>
          <w:highlight w:val="none"/>
          <w:u w:val="single"/>
        </w:rPr>
        <w:t xml:space="preserve"> 无 </w:t>
      </w:r>
      <w:r/>
    </w:p>
    <w:p>
      <w:pPr>
        <w:ind w:left="0" w:right="0" w:firstLine="420"/>
        <w:keepLines w:val="0"/>
        <w:keepNext w:val="0"/>
        <w:pageBreakBefore w:val="0"/>
        <w:spacing w:beforeAutospacing="0" w:afterAutospacing="0"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（2）履约验收时间：</w:t>
      </w:r>
      <w:r>
        <w:rPr>
          <w:rFonts w:hint="eastAsia" w:ascii="宋体" w:hAnsi="宋体" w:eastAsia="宋体" w:cs="宋体"/>
          <w:bCs/>
          <w:color w:val="auto"/>
          <w:sz w:val="24"/>
          <w:szCs w:val="24"/>
          <w:highlight w:val="none"/>
          <w:u w:val="single"/>
        </w:rPr>
        <w:t xml:space="preserve">（计划于何时验收/供应商提出验收申请之日起 3日内组织验收） </w:t>
      </w:r>
      <w:r/>
    </w:p>
    <w:p>
      <w:pPr>
        <w:ind w:left="0" w:right="0" w:firstLine="42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（3）履约验收方式：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一次性验收         </w:t>
      </w:r>
      <w:r/>
    </w:p>
    <w:p>
      <w:pPr>
        <w:ind w:left="0" w:right="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分期/分项验收：</w:t>
      </w:r>
      <w:r>
        <w:rPr>
          <w:rFonts w:hint="eastAsia" w:ascii="宋体" w:hAnsi="宋体" w:eastAsia="宋体" w:cs="宋体"/>
          <w:bCs/>
          <w:color w:val="auto"/>
          <w:sz w:val="24"/>
          <w:szCs w:val="24"/>
          <w:highlight w:val="none"/>
          <w:u w:val="single"/>
        </w:rPr>
        <w:t xml:space="preserve"> （应明确分期</w:t>
      </w:r>
      <w:r>
        <w:rPr>
          <w:rFonts w:hint="eastAsia" w:ascii="宋体" w:hAnsi="宋体" w:eastAsia="宋体" w:cs="宋体"/>
          <w:bCs/>
          <w:color w:val="auto"/>
          <w:sz w:val="24"/>
          <w:szCs w:val="24"/>
          <w:highlight w:val="none"/>
          <w:u w:val="single"/>
          <w:lang w:val="en"/>
        </w:rPr>
        <w:t xml:space="preserve">/分项验收的工作安排</w:t>
      </w:r>
      <w:r>
        <w:rPr>
          <w:rFonts w:hint="eastAsia" w:ascii="宋体" w:hAnsi="宋体" w:eastAsia="宋体" w:cs="宋体"/>
          <w:bCs/>
          <w:color w:val="auto"/>
          <w:sz w:val="24"/>
          <w:szCs w:val="24"/>
          <w:highlight w:val="none"/>
          <w:u w:val="single"/>
        </w:rPr>
        <w:t xml:space="preserve">）  </w:t>
      </w:r>
      <w:r/>
    </w:p>
    <w:p>
      <w:pPr>
        <w:numPr>
          <w:ilvl w:val="0"/>
          <w:numId w:val="14"/>
        </w:numPr>
        <w:ind w:left="0" w:right="0" w:firstLine="42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履约验收程序：</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4.1甲方</w:t>
      </w:r>
      <w:r>
        <w:rPr>
          <w:rFonts w:hint="eastAsia" w:ascii="宋体" w:hAnsi="宋体" w:eastAsia="宋体" w:cs="宋体"/>
          <w:color w:val="auto"/>
          <w:sz w:val="24"/>
          <w:szCs w:val="24"/>
          <w:highlight w:val="none"/>
          <w:u w:val="single"/>
          <w:lang w:eastAsia="zh-CN"/>
        </w:rPr>
        <w:t xml:space="preserve">对乙方提交的货物应及时验收，收货时依据招标文件上的技术规格要求和国家有关质量标准进行现场初步验收，外观、说明书等符合招标文件技术要求的，给予签收，初步验收不合格的不予签收。经初步验收后的签收产品，如</w:t>
      </w:r>
      <w:r>
        <w:rPr>
          <w:rFonts w:hint="eastAsia" w:ascii="宋体" w:hAnsi="宋体" w:eastAsia="宋体" w:cs="宋体"/>
          <w:color w:val="auto"/>
          <w:sz w:val="24"/>
          <w:szCs w:val="24"/>
          <w:highlight w:val="none"/>
          <w:u w:val="single"/>
          <w:lang w:val="en-US" w:eastAsia="zh-CN"/>
        </w:rPr>
        <w:t xml:space="preserve">工作</w:t>
      </w:r>
      <w:r>
        <w:rPr>
          <w:rFonts w:hint="eastAsia" w:ascii="宋体" w:hAnsi="宋体" w:eastAsia="宋体" w:cs="宋体"/>
          <w:color w:val="auto"/>
          <w:sz w:val="24"/>
          <w:szCs w:val="24"/>
          <w:highlight w:val="none"/>
          <w:u w:val="single"/>
          <w:lang w:eastAsia="zh-CN"/>
        </w:rPr>
        <w:t xml:space="preserve">人员在使用过程中提出质量等异议或举报有质量问题时，产品收货单位应实施复核，费用由乙方承担。</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lang w:eastAsia="zh-CN"/>
        </w:rPr>
        <w:t xml:space="preserve">.2 乙方交货前应对产品作出全面检查和对验收文件进行整理，并列出清单，作为收货验收和使用的技术条件依据。</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lang w:eastAsia="zh-CN"/>
        </w:rPr>
        <w:t xml:space="preserve">.3 乙方提供的货物，在</w:t>
      </w:r>
      <w:r>
        <w:rPr>
          <w:rFonts w:hint="eastAsia" w:ascii="宋体" w:hAnsi="宋体" w:eastAsia="宋体" w:cs="宋体"/>
          <w:color w:val="auto"/>
          <w:sz w:val="24"/>
          <w:szCs w:val="24"/>
          <w:highlight w:val="none"/>
          <w:u w:val="single"/>
          <w:lang w:val="en-US" w:eastAsia="zh-CN"/>
        </w:rPr>
        <w:t xml:space="preserve">使用方</w:t>
      </w:r>
      <w:r>
        <w:rPr>
          <w:rFonts w:hint="eastAsia" w:ascii="宋体" w:hAnsi="宋体" w:eastAsia="宋体" w:cs="宋体"/>
          <w:color w:val="auto"/>
          <w:sz w:val="24"/>
          <w:szCs w:val="24"/>
          <w:highlight w:val="none"/>
          <w:u w:val="single"/>
          <w:lang w:eastAsia="zh-CN"/>
        </w:rPr>
        <w:t xml:space="preserve">使用前，需由乙方提供相关技术培训，并在使用的前三个月为</w:t>
      </w:r>
      <w:r>
        <w:rPr>
          <w:rFonts w:hint="eastAsia" w:ascii="宋体" w:hAnsi="宋体" w:eastAsia="宋体" w:cs="宋体"/>
          <w:color w:val="auto"/>
          <w:sz w:val="24"/>
          <w:szCs w:val="24"/>
          <w:highlight w:val="none"/>
          <w:u w:val="single"/>
          <w:lang w:val="en-US" w:eastAsia="zh-CN"/>
        </w:rPr>
        <w:t xml:space="preserve">使用方</w:t>
      </w:r>
      <w:r>
        <w:rPr>
          <w:rFonts w:hint="eastAsia" w:ascii="宋体" w:hAnsi="宋体" w:eastAsia="宋体" w:cs="宋体"/>
          <w:color w:val="auto"/>
          <w:sz w:val="24"/>
          <w:szCs w:val="24"/>
          <w:highlight w:val="none"/>
          <w:u w:val="single"/>
          <w:lang w:eastAsia="zh-CN"/>
        </w:rPr>
        <w:t xml:space="preserve">提供必要的协助，直到符合有关要求，</w:t>
      </w:r>
      <w:r>
        <w:rPr>
          <w:rFonts w:hint="eastAsia" w:ascii="宋体" w:hAnsi="宋体" w:eastAsia="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lang w:eastAsia="zh-CN"/>
        </w:rPr>
        <w:t xml:space="preserve">才做最终验收。</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lang w:eastAsia="zh-CN"/>
        </w:rPr>
        <w:t xml:space="preserve">.4 对技术复杂的货物，</w:t>
      </w:r>
      <w:r>
        <w:rPr>
          <w:rFonts w:hint="eastAsia" w:ascii="宋体" w:hAnsi="宋体" w:eastAsia="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lang w:eastAsia="zh-CN"/>
        </w:rPr>
        <w:t xml:space="preserve">可申请国家认可的专业检测机构参与初步验收及最终验收，并由其出具质量检测报告。</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val="en-US" w:eastAsia="zh-CN"/>
        </w:rPr>
        <w:t xml:space="preserve">5</w:t>
      </w:r>
      <w:r>
        <w:rPr>
          <w:rFonts w:hint="eastAsia" w:ascii="宋体" w:hAnsi="宋体" w:eastAsia="宋体" w:cs="宋体"/>
          <w:color w:val="auto"/>
          <w:sz w:val="24"/>
          <w:szCs w:val="24"/>
          <w:highlight w:val="none"/>
          <w:u w:val="none"/>
          <w:lang w:eastAsia="zh-CN"/>
        </w:rPr>
        <w:t xml:space="preserve">）履约验收的内容</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按照采购合同的约定对每一项技术、服务、安全标准的履约情况进行确认。</w:t>
      </w:r>
      <w:r/>
    </w:p>
    <w:p>
      <w:pPr>
        <w:pStyle w:val="937"/>
        <w:ind w:left="0" w:right="0" w:firstLine="420"/>
        <w:keepLines w:val="0"/>
        <w:keepNext w:val="0"/>
        <w:pageBreakBefore w:val="0"/>
        <w:spacing w:beforeAutospacing="0" w:afterAutospacing="0" w:line="440" w:lineRule="exact"/>
        <w:rPr>
          <w:rFonts w:hint="eastAsia" w:ascii="宋体" w:hAnsi="宋体" w:eastAsia="宋体" w:cs="宋体"/>
          <w:bCs/>
          <w:color w:val="auto"/>
          <w:sz w:val="24"/>
          <w:szCs w:val="24"/>
          <w:highlight w:val="none"/>
          <w:u w:val="none"/>
        </w:rPr>
      </w:pP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val="en-US" w:eastAsia="zh-CN"/>
        </w:rPr>
        <w:t xml:space="preserve">6</w:t>
      </w:r>
      <w:r>
        <w:rPr>
          <w:rFonts w:hint="eastAsia" w:ascii="宋体" w:hAnsi="宋体" w:eastAsia="宋体" w:cs="宋体"/>
          <w:color w:val="auto"/>
          <w:sz w:val="24"/>
          <w:szCs w:val="24"/>
          <w:highlight w:val="none"/>
          <w:u w:val="none"/>
          <w:lang w:eastAsia="zh-CN"/>
        </w:rPr>
        <w:t xml:space="preserve">）履约验收标准：依据招标文件上的技术规格要求和国家有关质量标准，同时服从甲方安排要求。</w:t>
      </w:r>
      <w:r/>
    </w:p>
    <w:p>
      <w:pPr>
        <w:pStyle w:val="937"/>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（7）是否以采购活动中供应商提供的样品作为参考：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w:t>
      </w:r>
      <w:r/>
    </w:p>
    <w:p>
      <w:pPr>
        <w:ind w:left="0" w:right="0" w:firstLine="420"/>
        <w:keepLines w:val="0"/>
        <w:keepNext w:val="0"/>
        <w:pageBreakBefore w:val="0"/>
        <w:spacing w:beforeAutospacing="0" w:afterAutospacing="0"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（8）履约验收其他事项：</w:t>
      </w:r>
      <w:r>
        <w:rPr>
          <w:rFonts w:hint="eastAsia" w:ascii="宋体" w:hAnsi="宋体" w:eastAsia="宋体" w:cs="宋体"/>
          <w:bCs/>
          <w:color w:val="auto"/>
          <w:sz w:val="24"/>
          <w:szCs w:val="24"/>
          <w:highlight w:val="none"/>
          <w:u w:val="single"/>
        </w:rPr>
        <w:t xml:space="preserve">/。</w:t>
      </w:r>
      <w:r/>
    </w:p>
    <w:p>
      <w:pPr>
        <w:numPr>
          <w:ilvl w:val="0"/>
          <w:numId w:val="0"/>
        </w:numPr>
        <w:ind w:left="0" w:right="0" w:firstLine="422"/>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5.</w:t>
      </w:r>
      <w:r>
        <w:rPr>
          <w:rFonts w:hint="eastAsia" w:ascii="宋体" w:hAnsi="宋体" w:eastAsia="宋体" w:cs="宋体"/>
          <w:b/>
          <w:color w:val="auto"/>
          <w:sz w:val="24"/>
          <w:szCs w:val="24"/>
          <w:highlight w:val="none"/>
        </w:rPr>
        <w:t xml:space="preserve">组成合同的文件</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本协议书与下列文件一起构成合同文件，如下述文件之间有任何抵触、矛盾或歧义，应按以下顺序解释：</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（1）政府采购合同协议书及其变更、补充协议</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（2）政府采购合同专用条款</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（3）政府采购合同通用条款</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（4）中标（成交）通知书</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（5）投标（响应）文件</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（6）采购文件</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（7）有关技术文件，图纸</w:t>
      </w:r>
      <w:r/>
    </w:p>
    <w:p>
      <w:pPr>
        <w:pStyle w:val="937"/>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（8）国家法律、行政法规和规章制度规定或合同约定的作为合同组成部分的其他文件</w:t>
      </w:r>
      <w:r/>
    </w:p>
    <w:p>
      <w:pPr>
        <w:numPr>
          <w:ilvl w:val="0"/>
          <w:numId w:val="0"/>
        </w:numPr>
        <w:ind w:left="0" w:right="0" w:firstLine="422"/>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6.</w:t>
      </w:r>
      <w:r>
        <w:rPr>
          <w:rFonts w:hint="eastAsia" w:ascii="宋体" w:hAnsi="宋体" w:eastAsia="宋体" w:cs="宋体"/>
          <w:b/>
          <w:color w:val="auto"/>
          <w:sz w:val="24"/>
          <w:szCs w:val="24"/>
          <w:highlight w:val="none"/>
        </w:rPr>
        <w:t xml:space="preserve">合同生效</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本合同自</w:t>
      </w:r>
      <w:r>
        <w:rPr>
          <w:rFonts w:hint="eastAsia" w:ascii="宋体" w:hAnsi="宋体" w:eastAsia="宋体" w:cs="宋体"/>
          <w:color w:val="auto"/>
          <w:sz w:val="24"/>
          <w:szCs w:val="24"/>
          <w:highlight w:val="none"/>
          <w:u w:val="single"/>
        </w:rPr>
        <w:t xml:space="preserve"> 签订之日起 </w:t>
      </w:r>
      <w:r>
        <w:rPr>
          <w:rFonts w:hint="eastAsia" w:ascii="宋体" w:hAnsi="宋体" w:eastAsia="宋体" w:cs="宋体"/>
          <w:color w:val="auto"/>
          <w:sz w:val="24"/>
          <w:szCs w:val="24"/>
          <w:highlight w:val="none"/>
        </w:rPr>
        <w:t xml:space="preserve">生效。</w:t>
      </w:r>
      <w:r/>
    </w:p>
    <w:p>
      <w:pPr>
        <w:numPr>
          <w:ilvl w:val="0"/>
          <w:numId w:val="0"/>
        </w:numPr>
        <w:ind w:left="0" w:right="0" w:firstLine="422"/>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7.</w:t>
      </w:r>
      <w:r>
        <w:rPr>
          <w:rFonts w:hint="eastAsia" w:ascii="宋体" w:hAnsi="宋体" w:eastAsia="宋体" w:cs="宋体"/>
          <w:b/>
          <w:color w:val="auto"/>
          <w:sz w:val="24"/>
          <w:szCs w:val="24"/>
          <w:highlight w:val="none"/>
        </w:rPr>
        <w:t xml:space="preserve">合同份数</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u w:val="single"/>
        </w:rPr>
        <w:t xml:space="preserve"> 肆 </w:t>
      </w:r>
      <w:r>
        <w:rPr>
          <w:rFonts w:hint="eastAsia" w:ascii="宋体" w:hAnsi="宋体" w:eastAsia="宋体" w:cs="宋体"/>
          <w:color w:val="auto"/>
          <w:sz w:val="24"/>
          <w:szCs w:val="24"/>
          <w:highlight w:val="none"/>
        </w:rPr>
        <w:t xml:space="preserve">份，甲方执</w:t>
      </w:r>
      <w:r>
        <w:rPr>
          <w:rFonts w:hint="eastAsia" w:ascii="宋体" w:hAnsi="宋体" w:eastAsia="宋体" w:cs="宋体"/>
          <w:color w:val="auto"/>
          <w:sz w:val="24"/>
          <w:szCs w:val="24"/>
          <w:highlight w:val="none"/>
          <w:u w:val="single"/>
        </w:rPr>
        <w:t xml:space="preserve"> 贰 </w:t>
      </w:r>
      <w:r>
        <w:rPr>
          <w:rFonts w:hint="eastAsia" w:ascii="宋体" w:hAnsi="宋体" w:eastAsia="宋体" w:cs="宋体"/>
          <w:color w:val="auto"/>
          <w:sz w:val="24"/>
          <w:szCs w:val="24"/>
          <w:highlight w:val="none"/>
        </w:rPr>
        <w:t xml:space="preserve">份，乙方执</w:t>
      </w:r>
      <w:r>
        <w:rPr>
          <w:rFonts w:hint="eastAsia" w:ascii="宋体" w:hAnsi="宋体" w:eastAsia="宋体" w:cs="宋体"/>
          <w:color w:val="auto"/>
          <w:sz w:val="24"/>
          <w:szCs w:val="24"/>
          <w:highlight w:val="none"/>
          <w:u w:val="single"/>
        </w:rPr>
        <w:t xml:space="preserve"> 贰 </w:t>
      </w:r>
      <w:r>
        <w:rPr>
          <w:rFonts w:hint="eastAsia" w:ascii="宋体" w:hAnsi="宋体" w:eastAsia="宋体" w:cs="宋体"/>
          <w:color w:val="auto"/>
          <w:sz w:val="24"/>
          <w:szCs w:val="24"/>
          <w:highlight w:val="none"/>
        </w:rPr>
        <w:t xml:space="preserve">份，均具有同等法律效力。</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合同订立地点：</w:t>
      </w:r>
      <w:r>
        <w:rPr>
          <w:rFonts w:hint="eastAsia" w:ascii="宋体" w:hAnsi="宋体" w:eastAsia="宋体" w:cs="宋体"/>
          <w:color w:val="auto"/>
          <w:sz w:val="24"/>
          <w:szCs w:val="24"/>
          <w:highlight w:val="none"/>
          <w:u w:val="single"/>
        </w:rPr>
        <w:t xml:space="preserve">                        </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附件：具体标的及其技术要求和商务要求、分包意向协议等。</w:t>
      </w:r>
      <w:r/>
    </w:p>
    <w:p>
      <w:pPr>
        <w:pStyle w:val="938"/>
        <w:ind w:left="0" w:right="0"/>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718"/>
        <w:ind w:left="0" w:right="0"/>
        <w:spacing w:before="0" w:beforeAutospacing="0" w:after="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938"/>
        <w:ind w:left="0" w:right="0"/>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bl>
      <w:tblPr>
        <w:tblStyle w:val="72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0"/>
        <w:gridCol w:w="2554"/>
        <w:gridCol w:w="1836"/>
        <w:gridCol w:w="2118"/>
      </w:tblGrid>
      <w:tr>
        <w:trPr>
          <w:trHeight w:val="1105"/>
        </w:trPr>
        <w:tc>
          <w:tcPr>
            <w:gridSpan w:val="2"/>
            <w:tcBorders>
              <w:bottom w:val="single" w:color="auto" w:sz="2" w:space="0"/>
              <w:right w:val="single" w:color="auto" w:sz="2" w:space="0"/>
            </w:tcBorders>
            <w:tcW w:w="264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甲方（采购人、受采购人委托签订合同的单位或采购文件约定的合同甲方）</w:t>
            </w:r>
            <w:r/>
          </w:p>
        </w:tc>
        <w:tc>
          <w:tcPr>
            <w:gridSpan w:val="2"/>
            <w:tcBorders>
              <w:left w:val="single" w:color="auto" w:sz="2" w:space="0"/>
              <w:bottom w:val="single" w:color="auto" w:sz="2" w:space="0"/>
            </w:tcBorders>
            <w:tcW w:w="2354"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乙方（供应商）</w:t>
            </w:r>
            <w:r/>
          </w:p>
        </w:tc>
      </w:tr>
      <w:tr>
        <w:trPr>
          <w:trHeight w:val="917"/>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泗洪姜堰实验学校</w:t>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单位名称（公章或合同章）</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1171"/>
        </w:trPr>
        <w:tc>
          <w:tcPr>
            <w:tcBorders>
              <w:top w:val="single" w:color="auto" w:sz="2" w:space="0"/>
              <w:right w:val="single" w:color="auto" w:sz="2" w:space="0"/>
            </w:tcBorders>
            <w:tcW w:w="1125" w:type="pct"/>
            <w:vAlign w:val="center"/>
            <w:vMerge w:val="restart"/>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p>
            <w:pPr>
              <w:ind w:left="0" w:right="0" w:firstLine="10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或其委托代理人（签章）</w:t>
            </w:r>
            <w:r/>
          </w:p>
        </w:tc>
        <w:tc>
          <w:tcPr>
            <w:tcBorders>
              <w:top w:val="single" w:color="auto" w:sz="2" w:space="0"/>
              <w:left w:val="single" w:color="auto" w:sz="2" w:space="0"/>
              <w:right w:val="single" w:color="auto" w:sz="2" w:space="0"/>
            </w:tcBorders>
            <w:tcW w:w="1520" w:type="pct"/>
            <w:vAlign w:val="center"/>
            <w:vMerge w:val="restart"/>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或其委托代理人（签章）</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16"/>
        </w:trPr>
        <w:tc>
          <w:tcPr>
            <w:tcBorders>
              <w:bottom w:val="single" w:color="auto" w:sz="2" w:space="0"/>
              <w:right w:val="single" w:color="auto" w:sz="2" w:space="0"/>
            </w:tcBorders>
            <w:tcW w:w="1125" w:type="pct"/>
            <w:vAlign w:val="center"/>
            <w:vMerge w:val="continue"/>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2" w:space="0"/>
              <w:bottom w:val="single" w:color="auto" w:sz="2" w:space="0"/>
              <w:right w:val="single" w:color="auto" w:sz="2" w:space="0"/>
            </w:tcBorders>
            <w:tcW w:w="1520" w:type="pct"/>
            <w:vAlign w:val="center"/>
            <w:vMerge w:val="continue"/>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拥有者性别</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  所</w:t>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  所</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w:t>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开户名称</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520"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1093"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tc>
        <w:tc>
          <w:tcPr>
            <w:tcBorders>
              <w:top w:val="single" w:color="auto" w:sz="2" w:space="0"/>
              <w:left w:val="single" w:color="auto" w:sz="2" w:space="0"/>
              <w:bottom w:val="single" w:color="auto" w:sz="2" w:space="0"/>
            </w:tcBorders>
            <w:tcW w:w="1261" w:type="pct"/>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bl>
    <w:p>
      <w:pPr>
        <w:pStyle w:val="718"/>
        <w:ind w:left="0" w:right="0"/>
        <w:jc w:val="center"/>
        <w:spacing w:before="0" w:beforeAutospacing="0" w:after="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u w:val="single"/>
        </w:rPr>
        <w:br w:type="page" w:clear="all"/>
      </w:r>
      <w:bookmarkStart w:id="130" w:name="_Toc27624"/>
      <w:r>
        <w:rPr>
          <w:rFonts w:hint="eastAsia" w:ascii="宋体" w:hAnsi="宋体" w:eastAsia="宋体" w:cs="宋体"/>
          <w:b/>
          <w:bCs/>
          <w:color w:val="auto"/>
          <w:sz w:val="24"/>
          <w:szCs w:val="24"/>
          <w:highlight w:val="none"/>
        </w:rPr>
        <w:t xml:space="preserve">第二节 政府采购合同通用条款</w:t>
      </w:r>
      <w:bookmarkEnd w:id="130"/>
      <w:r/>
      <w:r/>
    </w:p>
    <w:p>
      <w:pPr>
        <w:ind w:left="0" w:right="0"/>
        <w:jc w:val="left"/>
        <w:keepLines w:val="0"/>
        <w:keepNext w:val="0"/>
        <w:pageBreakBefore w:val="0"/>
        <w:spacing w:beforeAutospacing="0" w:afterAutospacing="0" w:line="440" w:lineRule="exact"/>
        <w:tabs>
          <w:tab w:val="left" w:pos="8820" w:leader="none"/>
          <w:tab w:val="left" w:pos="9345" w:leader="none"/>
          <w:tab w:val="left" w:pos="9765" w:leader="none"/>
        </w:tabs>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1. </w:t>
      </w:r>
      <w:r>
        <w:rPr>
          <w:rFonts w:hint="eastAsia" w:ascii="宋体" w:hAnsi="宋体" w:eastAsia="宋体" w:cs="宋体"/>
          <w:b/>
          <w:bCs/>
          <w:color w:val="auto"/>
          <w:sz w:val="24"/>
          <w:szCs w:val="24"/>
          <w:highlight w:val="none"/>
        </w:rPr>
        <w:t xml:space="preserve">定义</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1.1合同当事人</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（1）采购人（以下称甲方）是指使用财政性资金，通过政府采购方式向供应商购买货物及其相关服务的国家机关、事业单位、团体组织。</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（2）供应商（以下称乙方）是指参加政府采购活动并且中标（成交），向采购人提供合同约定的货物及其相关服务的法人、非法人组织或者自然人。</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（3）其他合同主体是指除采购人和供应商以外，</w:t>
      </w:r>
      <w:r>
        <w:rPr>
          <w:rFonts w:hint="eastAsia" w:ascii="宋体" w:hAnsi="宋体" w:eastAsia="宋体" w:cs="宋体"/>
          <w:bCs/>
          <w:color w:val="auto"/>
          <w:sz w:val="24"/>
          <w:szCs w:val="24"/>
          <w:highlight w:val="none"/>
        </w:rPr>
        <w:t xml:space="preserve">依法参与合同缔结或履行，享有权利、承担义务的合同当事人</w:t>
      </w:r>
      <w:r>
        <w:rPr>
          <w:rFonts w:hint="eastAsia" w:ascii="宋体" w:hAnsi="宋体" w:eastAsia="宋体" w:cs="宋体"/>
          <w:color w:val="auto"/>
          <w:sz w:val="24"/>
          <w:szCs w:val="24"/>
          <w:highlight w:val="none"/>
        </w:rPr>
        <w:t xml:space="preserve">。</w:t>
      </w:r>
      <w:r/>
    </w:p>
    <w:p>
      <w:pPr>
        <w:ind w:left="0" w:right="0" w:firstLine="420"/>
        <w:jc w:val="left"/>
        <w:keepLines w:val="0"/>
        <w:keepNext w:val="0"/>
        <w:pageBreakBefore w:val="0"/>
        <w:spacing w:beforeAutospacing="0" w:afterAutospacing="0" w:line="44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1.2本合同下列术语应解释为：</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（1）“合同”系指</w:t>
      </w:r>
      <w:r>
        <w:rPr>
          <w:rFonts w:hint="eastAsia" w:ascii="宋体" w:hAnsi="宋体" w:eastAsia="宋体" w:cs="宋体"/>
          <w:bCs/>
          <w:color w:val="auto"/>
          <w:sz w:val="24"/>
          <w:szCs w:val="24"/>
          <w:highlight w:val="none"/>
        </w:rPr>
        <w:t xml:space="preserve">合同当事人意思表示达成一致的任何协议，包括签署的</w:t>
      </w:r>
      <w:r>
        <w:rPr>
          <w:rFonts w:hint="eastAsia" w:ascii="宋体" w:hAnsi="宋体" w:eastAsia="宋体" w:cs="宋体"/>
          <w:color w:val="auto"/>
          <w:sz w:val="24"/>
          <w:szCs w:val="24"/>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jc w:val="left"/>
        <w:keepLines w:val="0"/>
        <w:keepNext w:val="0"/>
        <w:pageBreakBefore w:val="0"/>
        <w:spacing w:beforeAutospacing="0" w:afterAutospacing="0" w:line="44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（2）“合同价款”系指根据本合同规定乙方在全面履行合同义务后甲方应支付给乙方的价款。</w:t>
      </w:r>
      <w:r/>
    </w:p>
    <w:p>
      <w:pPr>
        <w:ind w:left="0" w:right="0" w:firstLine="420"/>
        <w:jc w:val="left"/>
        <w:keepLines w:val="0"/>
        <w:keepNext w:val="0"/>
        <w:pageBreakBefore w:val="0"/>
        <w:spacing w:beforeAutospacing="0" w:afterAutospacing="0" w:line="44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技术资料和材料等。</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（4）“相关服务”系指根据合同规定，乙方应提供的与货物有关的技术、管理和</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义务。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jc w:val="left"/>
        <w:keepLines w:val="0"/>
        <w:keepNext w:val="0"/>
        <w:pageBreakBefore w:val="0"/>
        <w:spacing w:beforeAutospacing="0" w:afterAutospacing="0" w:line="44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w:t>
      </w:r>
      <w:r/>
    </w:p>
    <w:p>
      <w:pPr>
        <w:ind w:left="0" w:right="0" w:firstLine="420"/>
        <w:jc w:val="left"/>
        <w:keepLines w:val="0"/>
        <w:keepNext w:val="0"/>
        <w:pageBreakBefore w:val="0"/>
        <w:spacing w:beforeAutospacing="0" w:afterAutospacing="0" w:line="44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（7）其他术语解释，见【</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w:t>
      </w:r>
      <w:r/>
    </w:p>
    <w:p>
      <w:pPr>
        <w:numPr>
          <w:ilvl w:val="0"/>
          <w:numId w:val="15"/>
        </w:num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合同标的及金额</w:t>
      </w:r>
      <w:r/>
    </w:p>
    <w:p>
      <w:pPr>
        <w:ind w:left="0" w:right="0" w:firstLine="420"/>
        <w:jc w:val="left"/>
        <w:keepLines w:val="0"/>
        <w:keepNext w:val="0"/>
        <w:pageBreakBefore w:val="0"/>
        <w:spacing w:beforeAutospacing="0" w:afterAutospacing="0" w:line="440" w:lineRule="exact"/>
        <w:rPr>
          <w:rFonts w:hint="eastAsia" w:ascii="宋体" w:hAnsi="宋体" w:eastAsia="宋体" w:cs="宋体"/>
          <w:b/>
          <w:bCs/>
          <w:i/>
          <w:iCs/>
          <w:color w:val="auto"/>
          <w:sz w:val="24"/>
          <w:szCs w:val="24"/>
          <w:highlight w:val="none"/>
        </w:rPr>
      </w:pPr>
      <w:r>
        <w:rPr>
          <w:rFonts w:hint="eastAsia" w:ascii="宋体" w:hAnsi="宋体" w:eastAsia="宋体" w:cs="宋体"/>
          <w:color w:val="auto"/>
          <w:sz w:val="24"/>
          <w:szCs w:val="24"/>
          <w:highlight w:val="none"/>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任何费用。</w:t>
      </w:r>
      <w:r/>
    </w:p>
    <w:p>
      <w:pPr>
        <w:ind w:left="0" w:right="0"/>
        <w:jc w:val="left"/>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 履行合同的时间、地点和方式</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乙方应当在约定的时间、地点，按照约定方式履行合同。</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 甲方的权利和义务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甲方有权要求乙方对缺陷部分予以修复，并按合同约定享有货物保修及其他合同约定的权利。</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甲方应当按照合同约定及时对交付的货物进行验收，未在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约定的期限内对乙方履约提出任何异议或者向乙方作出任何说明的，视为验收通过。</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 甲方应当根据合同约定及时向乙方支付合同价款，不得以内部人员变更、履行内部付款流程等为由，拒绝或迟延支付。</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 国家法律法规规定及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约定应由甲方承担的其他义务和责任。</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 乙方的权利和义务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签署合同后，乙方应确定项目负责人（或项目联系人），负责与本合同有关的事务。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30"/>
        <w:ind w:left="0" w:right="0" w:firstLine="369"/>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5.3乙方有权根据合同约定向甲方收取合同价款。</w:t>
      </w:r>
      <w:r/>
    </w:p>
    <w:p>
      <w:pPr>
        <w:pStyle w:val="730"/>
        <w:ind w:left="0" w:right="0" w:firstLine="369"/>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5.4国家法律法规规定及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约定应由乙方承担的其他义务和责任。</w:t>
      </w:r>
      <w:r/>
    </w:p>
    <w:p>
      <w:pPr>
        <w:numPr>
          <w:ilvl w:val="0"/>
          <w:numId w:val="16"/>
        </w:num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合同履行</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甲乙双方应当按照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约定顺序履行合同义务；如果没有先后顺序的，应当同时履行。</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 货物包装、运输、保险和交付要求</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本合同</w:t>
      </w:r>
      <w:r>
        <w:rPr>
          <w:rFonts w:hint="eastAsia" w:ascii="宋体" w:hAnsi="宋体" w:eastAsia="宋体" w:cs="宋体"/>
          <w:bCs/>
          <w:color w:val="auto"/>
          <w:sz w:val="24"/>
          <w:szCs w:val="24"/>
          <w:highlight w:val="none"/>
        </w:rPr>
        <w:t xml:space="preserve">涉及商品包装、快递包装的，</w:t>
      </w:r>
      <w:r>
        <w:rPr>
          <w:rFonts w:hint="eastAsia" w:ascii="宋体" w:hAnsi="宋体" w:eastAsia="宋体" w:cs="宋体"/>
          <w:color w:val="auto"/>
          <w:sz w:val="24"/>
          <w:szCs w:val="24"/>
          <w:highlight w:val="none"/>
        </w:rPr>
        <w:t xml:space="preserve">除</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另有约定外，</w:t>
      </w:r>
      <w:r>
        <w:rPr>
          <w:rFonts w:hint="eastAsia" w:ascii="宋体" w:hAnsi="宋体" w:eastAsia="宋体" w:cs="宋体"/>
          <w:color w:val="auto"/>
          <w:sz w:val="24"/>
          <w:szCs w:val="24"/>
          <w:highlight w:val="none"/>
        </w:rPr>
        <w:t xml:space="preserve">包装应适应远距离运输、防潮、防震、防锈和防野蛮装卸等要求，确保货物安全无损地运抵</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约定的</w:t>
      </w:r>
      <w:r>
        <w:rPr>
          <w:rFonts w:hint="eastAsia" w:ascii="宋体" w:hAnsi="宋体" w:eastAsia="宋体" w:cs="宋体"/>
          <w:color w:val="auto"/>
          <w:sz w:val="24"/>
          <w:szCs w:val="24"/>
          <w:highlight w:val="none"/>
        </w:rPr>
        <w:t xml:space="preserve">指定现场。</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除</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另有约定外，</w:t>
      </w:r>
      <w:r>
        <w:rPr>
          <w:rFonts w:hint="eastAsia" w:ascii="宋体" w:hAnsi="宋体" w:eastAsia="宋体" w:cs="宋体"/>
          <w:color w:val="auto"/>
          <w:sz w:val="24"/>
          <w:szCs w:val="24"/>
          <w:highlight w:val="none"/>
        </w:rPr>
        <w:t xml:space="preserve">乙方负责办理将货物运抵本合同规定的交货地点，并装卸、交付至甲方的一切运输事项，相关费用应包含在合同价款中。</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货物保险要求按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规定执行</w:t>
      </w:r>
      <w:r>
        <w:rPr>
          <w:rFonts w:hint="eastAsia" w:ascii="宋体" w:hAnsi="宋体" w:eastAsia="宋体" w:cs="宋体"/>
          <w:color w:val="auto"/>
          <w:sz w:val="24"/>
          <w:szCs w:val="24"/>
          <w:highlight w:val="none"/>
        </w:rPr>
        <w:t xml:space="preserve">。</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乙方在运输到达之前应提前通知甲方，并提示货物运输装卸的注意事项，甲方配合乙方做好货物的接收工作。</w:t>
      </w:r>
      <w:r/>
    </w:p>
    <w:p>
      <w:pPr>
        <w:pStyle w:val="937"/>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如因包装、运输问题导致货物损毁、丢失或者品质下降，甲方有权要求降价、换货、拒收部分或整批货物，由此产生的费用和损失，均由乙方承担。</w:t>
      </w:r>
      <w:r/>
    </w:p>
    <w:p>
      <w:pPr>
        <w:ind w:left="0" w:right="0"/>
        <w:jc w:val="left"/>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 质量标准和保证</w:t>
      </w:r>
      <w:r/>
    </w:p>
    <w:p>
      <w:pPr>
        <w:pStyle w:val="735"/>
        <w:ind w:left="0" w:right="0" w:firstLine="420"/>
        <w:jc w:val="left"/>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8.1 质量标准</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35"/>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（2）采用中华人民共和国法定计量单位。</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（3）乙方所提供的货物应符合国家有关安全、环保、卫生的规定。</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保证</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规定或乙方书面承诺（两者以较长的为准）的质量保证期内，本保证保持有效。</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（2）在质量保证期内所发现的缺陷，甲方应尽快以书面形式通知乙方。</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（3）乙方收到通知后，应在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规定的响应时间内以合理的速度免费维修或更换有缺陷的货物或部件。</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（5）乙方在约定的时间内未能弥补缺陷，甲方可采取必要的补救措施，但其风险和费用将由乙方承担，甲方根据合同约定对乙方行使的其他权利不受影响。</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 权利瑕疵担保</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乙方保证对其出售的货物享有合法的权利。</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乙方保证在交付的货物上不存在抵押权等担保物权。</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如甲方使用上述货物构成对第三人侵权的，则由乙方承担全部责任。</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 知识产权保护</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乙方对其所销售的货物应当享有知识产权或经权利人合法授权，保证没有侵犯任何第三人的知识产权等权利。</w:t>
      </w:r>
      <w:bookmarkStart w:id="131" w:name="_Hlk163047038"/>
      <w:r>
        <w:rPr>
          <w:rFonts w:hint="eastAsia" w:ascii="宋体" w:hAnsi="宋体" w:eastAsia="宋体" w:cs="宋体"/>
          <w:color w:val="auto"/>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31"/>
      <w:r>
        <w:rPr>
          <w:rFonts w:hint="eastAsia" w:ascii="宋体" w:hAnsi="宋体" w:eastAsia="宋体" w:cs="宋体"/>
          <w:color w:val="auto"/>
          <w:sz w:val="24"/>
          <w:szCs w:val="24"/>
          <w:highlight w:val="none"/>
        </w:rPr>
        <w:t xml:space="preserve">。</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 保密义务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中约定。</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 合同价款支付</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合同价款支付按照国库集中支付制度及财政管理相关规定执行。</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】中约定。</w:t>
      </w:r>
      <w:r/>
    </w:p>
    <w:p>
      <w:pPr>
        <w:pStyle w:val="730"/>
        <w:ind w:left="0" w:right="0"/>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 履约保证金</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乙方</w:t>
      </w:r>
      <w:r>
        <w:rPr>
          <w:rFonts w:hint="eastAsia" w:ascii="宋体" w:hAnsi="宋体" w:eastAsia="宋体" w:cs="宋体"/>
          <w:color w:val="auto"/>
          <w:sz w:val="24"/>
          <w:szCs w:val="24"/>
          <w:highlight w:val="none"/>
          <w:lang w:val="zh-CN"/>
        </w:rPr>
        <w:t xml:space="preserve">除银行电汇、网上银行、数字人民币外，</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zh-CN"/>
        </w:rPr>
        <w:t xml:space="preserve">还可选用银行保函、担保公司的保证担保或保险公司的保证保险、等多种形式向</w:t>
      </w:r>
      <w:r>
        <w:rPr>
          <w:rFonts w:hint="eastAsia" w:ascii="宋体" w:hAnsi="宋体" w:eastAsia="宋体" w:cs="宋体"/>
          <w:color w:val="auto"/>
          <w:sz w:val="24"/>
          <w:szCs w:val="24"/>
          <w:highlight w:val="none"/>
        </w:rPr>
        <w:t xml:space="preserve">甲方提交。</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如果乙方出现</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甲方在项目通过验收后按照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规定的时间内将履约保证金退还乙方；逾期退还的，乙方可要求甲方支付违约金，违约金按照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规定支付。</w:t>
      </w:r>
      <w:r/>
    </w:p>
    <w:p>
      <w:pPr>
        <w:ind w:left="0" w:right="0"/>
        <w:jc w:val="left"/>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14. </w:t>
      </w:r>
      <w:r>
        <w:rPr>
          <w:rFonts w:hint="eastAsia" w:ascii="宋体" w:hAnsi="宋体" w:eastAsia="宋体" w:cs="宋体"/>
          <w:b/>
          <w:color w:val="auto"/>
          <w:sz w:val="24"/>
          <w:szCs w:val="24"/>
          <w:highlight w:val="none"/>
        </w:rPr>
        <w:t xml:space="preserve">售后服务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除项目不涉及或采购活动中明确约定无须承担外，乙方还应提供下列服务：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（1）货物的现场移动、安装、调试、启动监督及技术支持；</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（2）提供货物组装和维修所需的专用工具和辅助材料；</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约定的期限内对所有的货物实施运行监督、维修，但前提条件是该服务并不能免除乙方在质量保证期内所承担的义务；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（4）在制造商所在地或指定现场就货物的安装、启动、运营、维护、废弃处置等对甲方操作人员进行培训；</w:t>
      </w:r>
      <w:r/>
    </w:p>
    <w:p>
      <w:pPr>
        <w:pStyle w:val="937"/>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（5）依照法律、行政法规的规定或者按照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约定，货物在有效使用年限届满后应予回收的，乙方负有自行或者委托第三人对货物予以回收的义务；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规定由乙方提供的其他服务。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乙方提供的售后服务的费用已包含在合同价款中，甲方不再另行支付。</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 违约责任</w:t>
      </w:r>
      <w:r/>
    </w:p>
    <w:p>
      <w:pPr>
        <w:ind w:left="0" w:right="0" w:firstLine="420"/>
        <w:jc w:val="left"/>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15.1质量瑕疵的违约责任</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乙方提供的产品不符合合同约定的质量标准或存在产品质量缺陷，甲方有权要求乙方根据</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要求</w:t>
      </w:r>
      <w:r>
        <w:rPr>
          <w:rFonts w:hint="eastAsia" w:ascii="宋体" w:hAnsi="宋体" w:eastAsia="宋体" w:cs="宋体"/>
          <w:color w:val="auto"/>
          <w:sz w:val="24"/>
          <w:szCs w:val="24"/>
          <w:highlight w:val="none"/>
        </w:rPr>
        <w:t xml:space="preserve">及时修理、重作、更换，并承担由此给甲方造成的损失。</w:t>
      </w:r>
      <w:r/>
    </w:p>
    <w:p>
      <w:pPr>
        <w:ind w:left="0" w:right="0" w:firstLine="420"/>
        <w:jc w:val="left"/>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15.2 迟延交货的违约责任</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规定执行。如果涉及公共利益，且赔偿金额无法弥补公共利益损失，甲方可要求继续履行或者采取其他补救措施。</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迟延支付的违约责任</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甲方存在迟延支付乙方合同款项的，应当承担</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规定的逾期付款利息。</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15.4其他违约责任根据项目实际需要按</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w:t>
      </w:r>
      <w:r/>
    </w:p>
    <w:p>
      <w:pPr>
        <w:numPr>
          <w:ilvl w:val="0"/>
          <w:numId w:val="17"/>
        </w:numPr>
        <w:ind w:left="0" w:right="0"/>
        <w:jc w:val="left"/>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合同变更、中止与终止</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16.1合同的变更</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16.2合同的中止</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（1）合同履行过程中因供应商就采购文件、采购过程或结果提起投诉的，甲方认为有必要的，可以中止合同的履行。</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37"/>
        <w:ind w:left="0" w:right="0" w:firstLine="42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（4）甲方不得以行政区划调整、政府换届、机构或者职能调整以及相关责任人更替为由中止合同。</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16.3合同的终止</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（1）合同因有效期限届满而终止；</w:t>
      </w:r>
      <w:r/>
    </w:p>
    <w:p>
      <w:pPr>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（2）乙方未按合同约定履行，构成根本性违约的，甲方有权终止合同，并追究乙方的违约责任。</w:t>
      </w:r>
      <w:r/>
    </w:p>
    <w:p>
      <w:pPr>
        <w:pStyle w:val="937"/>
        <w:ind w:left="0" w:right="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涉及国家利益、社会公共利益的情形</w:t>
      </w:r>
      <w:r/>
    </w:p>
    <w:p>
      <w:pPr>
        <w:pStyle w:val="937"/>
        <w:ind w:left="0" w:right="0" w:firstLine="42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 合同分包</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乙方不得将合同转包给其他供应商。涉及合同分包的，乙方应根据采购文件和投标（响应）文件规定进行合同分包。</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乙方执行政府采购政策向中小企业依法分包的，乙方应当按采购文件和投标（响应）文件签订分包意向协议，分包意向协议属于本合同组成部分。</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18. 不可抗力</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不可抗力是指合同双方不能预见、不能避免且不能克服的客观情况。</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任何一方对由于不可抗力造成的部分或全部不能履行合同不承担违约责任。但迟延履行后发生不可抗力的，不能免除责任。</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19. 解决争议的方法</w:t>
      </w:r>
      <w:r/>
    </w:p>
    <w:p>
      <w:pPr>
        <w:pStyle w:val="937"/>
        <w:ind w:left="0" w:right="0" w:firstLine="42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37"/>
        <w:ind w:left="0" w:right="0" w:firstLine="42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选择仲裁的，应在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中明确仲裁机构及仲裁地；通过诉讼方式解决的，可以在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中进一步约定选择与争议有实际联系的地点的人民法院管辖，但管辖法院的约定不得违反级别管辖和专属管辖的规定。</w:t>
      </w:r>
      <w:r/>
    </w:p>
    <w:p>
      <w:pPr>
        <w:pStyle w:val="937"/>
        <w:ind w:left="0" w:right="0" w:firstLine="42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 如甲乙双方有争议的事项不影响合同其他部分的履行，在争议解决期间，合同其他部分应当继续履行。</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20. 政府采购政策</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val="en-GB"/>
        </w:rPr>
        <w:t xml:space="preserve">本合同应当按照规定执行政府采购政策。</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本合同依法执行政府采购政策的方式和内容，属于合同履约验收的范围。甲乙双方</w:t>
      </w:r>
      <w:r>
        <w:rPr>
          <w:rFonts w:hint="eastAsia" w:ascii="宋体" w:hAnsi="宋体" w:eastAsia="宋体" w:cs="宋体"/>
          <w:color w:val="auto"/>
          <w:sz w:val="24"/>
          <w:szCs w:val="24"/>
          <w:highlight w:val="none"/>
          <w:lang w:val="en-GB"/>
        </w:rPr>
        <w:t xml:space="preserve">未按规定要求执行政府采购政策造成损失的</w:t>
      </w:r>
      <w:r>
        <w:rPr>
          <w:rFonts w:hint="eastAsia" w:ascii="宋体" w:hAnsi="宋体" w:eastAsia="宋体" w:cs="宋体"/>
          <w:color w:val="auto"/>
          <w:sz w:val="24"/>
          <w:szCs w:val="24"/>
          <w:highlight w:val="none"/>
        </w:rPr>
        <w:t xml:space="preserve">，有过错的一方应当承担赔偿责任，双方都有过错的，各自承担相应的责任。</w:t>
      </w:r>
      <w:r/>
    </w:p>
    <w:p>
      <w:pPr>
        <w:pStyle w:val="730"/>
        <w:ind w:left="0" w:right="0" w:firstLine="42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jc w:val="left"/>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 法律适用</w:t>
      </w:r>
      <w:r/>
    </w:p>
    <w:p>
      <w:pPr>
        <w:pStyle w:val="937"/>
        <w:ind w:left="0" w:right="0" w:firstLine="42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本合同的订立、生效、解释、履行及与本合同有关的争议解决，均适用法律、行政法规。</w:t>
      </w:r>
      <w:r/>
    </w:p>
    <w:p>
      <w:pPr>
        <w:pStyle w:val="937"/>
        <w:ind w:left="0" w:right="0" w:firstLine="42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本合同条款与法律、行政法规的强制性规定不一致的，双方当事人应按照法律、行政法规的强制性规定修改本合同的相关条款。</w:t>
      </w:r>
      <w:r/>
    </w:p>
    <w:p>
      <w:pPr>
        <w:numPr>
          <w:ilvl w:val="255"/>
          <w:numId w:val="0"/>
        </w:numPr>
        <w:ind w:left="0" w:right="0"/>
        <w:jc w:val="left"/>
        <w:keepLines w:val="0"/>
        <w:keepNext w:val="0"/>
        <w:pageBreakBefore w:val="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 通知</w:t>
      </w:r>
      <w:r/>
    </w:p>
    <w:p>
      <w:pPr>
        <w:pStyle w:val="937"/>
        <w:ind w:left="0" w:right="0" w:firstLine="42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pStyle w:val="937"/>
        <w:ind w:left="0" w:right="0" w:firstLine="0"/>
        <w:jc w:val="both"/>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22.2 一方当事人变更名称、住所、联系人、联系电话或电子邮箱等信息的，应当在变更后3日内及时书面通知对方，对方实际收到变更通知前的送达仍为有效送达。</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22.3本合同一方给另一方的通知均应采用书面形式，传真或快递送到本合同中规定的对方的地址和办理签收手续。</w:t>
      </w:r>
      <w:r/>
    </w:p>
    <w:p>
      <w:pPr>
        <w:ind w:left="0" w:right="0" w:firstLine="42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22.4通知以送达之日或通知书中规定的生效之日起生效，两者中以较迟之日为准。</w:t>
      </w:r>
      <w:r/>
    </w:p>
    <w:p>
      <w:pPr>
        <w:numPr>
          <w:ilvl w:val="0"/>
          <w:numId w:val="18"/>
        </w:numPr>
        <w:ind w:left="0" w:right="0"/>
        <w:jc w:val="left"/>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合同未尽事项</w:t>
      </w:r>
      <w:r/>
    </w:p>
    <w:p>
      <w:pPr>
        <w:ind w:left="0" w:right="0" w:firstLine="420"/>
        <w:jc w:val="left"/>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23.1合同未尽事项见</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w:t>
      </w:r>
      <w:r/>
    </w:p>
    <w:p>
      <w:pPr>
        <w:ind w:left="0" w:right="0"/>
        <w:jc w:val="left"/>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23.2 合同附件与合同正文具有同等的法律效力。</w:t>
      </w:r>
      <w:bookmarkStart w:id="132" w:name="_Toc20313"/>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718"/>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第三节 政府采购合同专用条款</w:t>
      </w:r>
      <w:bookmarkEnd w:id="132"/>
      <w:r/>
      <w:r/>
    </w:p>
    <w:tbl>
      <w:tblPr>
        <w:tblStyle w:val="727"/>
        <w:tblW w:w="8937" w:type="dxa"/>
        <w:tblInd w:w="-182"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900"/>
        <w:gridCol w:w="1812"/>
        <w:gridCol w:w="5225"/>
      </w:tblGrid>
      <w:tr>
        <w:trPr>
          <w:trHeight w:val="736"/>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第1.2（6）项</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联合体具体要求</w:t>
            </w:r>
            <w:r/>
          </w:p>
        </w:tc>
        <w:tc>
          <w:tcPr>
            <w:tcW w:w="5225"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r>
      <w:tr>
        <w:trPr>
          <w:trHeight w:val="604"/>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第1.2（7）项</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其他术语解释</w:t>
            </w:r>
            <w:r/>
          </w:p>
        </w:tc>
        <w:tc>
          <w:tcPr>
            <w:tcW w:w="5225"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税费：中国政府根据现行税法规定对甲方征收的与本合同有关的一切税费由甲方负担；规定对乙方征收的与本合同有关的一切税费由乙方负担。</w:t>
            </w:r>
            <w:r/>
          </w:p>
        </w:tc>
      </w:tr>
      <w:tr>
        <w:trPr>
          <w:trHeight w:val="736"/>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第4.4款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履约验收中甲方提出异议或作出说明的期限</w:t>
            </w:r>
            <w:r/>
          </w:p>
        </w:tc>
        <w:tc>
          <w:tcPr>
            <w:tcW w:w="5225"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履约验收中甲方提出异议的期限：3个工作日。</w:t>
            </w:r>
            <w:r/>
          </w:p>
          <w:p>
            <w:pPr>
              <w:pStyle w:val="937"/>
              <w:ind w:left="0" w:right="0" w:firstLine="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或履约验收中甲方作出说明的期限：3个工作日。</w:t>
            </w:r>
            <w:r/>
          </w:p>
        </w:tc>
      </w:tr>
      <w:tr>
        <w:trPr>
          <w:trHeight w:val="736"/>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第4.6款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约定甲方承担的其他义务和责任</w:t>
            </w:r>
            <w:r/>
          </w:p>
        </w:tc>
        <w:tc>
          <w:tcPr>
            <w:tcW w:w="5225"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r>
      <w:tr>
        <w:trPr>
          <w:trHeight w:val="736"/>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第5.4款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约定乙方承担的其他义务和责任</w:t>
            </w:r>
            <w:r/>
          </w:p>
        </w:tc>
        <w:tc>
          <w:tcPr>
            <w:tcW w:w="5225"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r>
      <w:tr>
        <w:trPr>
          <w:trHeight w:val="736"/>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第6.1款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履行合同义务的顺序</w:t>
            </w:r>
            <w:r/>
          </w:p>
        </w:tc>
        <w:tc>
          <w:tcPr>
            <w:tcW w:w="5225"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（1）政府采购合同协议书及其变更、补充协议；</w:t>
            </w:r>
            <w:r/>
          </w:p>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（2）政府采购合同专用条款；</w:t>
            </w:r>
            <w:r/>
          </w:p>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（3）政府采购合同通用条款；</w:t>
            </w:r>
            <w:r/>
          </w:p>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（4）中标（成交）通知书；</w:t>
            </w:r>
            <w:r/>
          </w:p>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（5）投标（响应）文件；</w:t>
            </w:r>
            <w:r/>
          </w:p>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（6）采购文件；</w:t>
            </w:r>
            <w:r/>
          </w:p>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（7）有关技术文件，图纸；</w:t>
            </w:r>
            <w:r/>
          </w:p>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（8）国家法律、行政法规和规章制度规定或合同约定的作为合同组成部分的其他文件。</w:t>
            </w:r>
            <w:r/>
          </w:p>
        </w:tc>
      </w:tr>
      <w:tr>
        <w:trPr>
          <w:trHeight w:val="667"/>
        </w:trPr>
        <w:tc>
          <w:tcPr>
            <w:tcW w:w="1900" w:type="dxa"/>
            <w:vAlign w:val="center"/>
            <w:vMerge w:val="restart"/>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第7.1款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包装特殊要求</w:t>
            </w:r>
            <w:r/>
          </w:p>
        </w:tc>
        <w:tc>
          <w:tcPr>
            <w:tcW w:w="5225" w:type="dxa"/>
            <w:vAlign w:val="center"/>
            <w:textDirection w:val="lrTb"/>
            <w:noWrap w:val="false"/>
          </w:tcPr>
          <w:p>
            <w:pPr>
              <w:ind w:left="0" w:right="0" w:firstLine="24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商品包装、快递包装政府采购需求标准</w:t>
            </w:r>
            <w:r/>
          </w:p>
          <w:p>
            <w:pPr>
              <w:ind w:left="0" w:right="0" w:firstLine="24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none"/>
              </w:rPr>
              <w:t xml:space="preserve">商品包装环保要求</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（1）商品包装层数不得超过 3 层，空隙率不大于 40%； </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（2）商品包装尽可能使用单一材质的包装材料，如因功能 需求</w:t>
            </w:r>
            <w:r>
              <w:rPr>
                <w:rFonts w:hint="eastAsia" w:ascii="宋体" w:hAnsi="宋体" w:cs="宋体"/>
                <w:color w:val="auto"/>
                <w:sz w:val="24"/>
                <w:szCs w:val="24"/>
                <w:highlight w:val="none"/>
                <w:u w:val="none"/>
                <w:lang w:eastAsia="zh-CN"/>
              </w:rPr>
              <w:t xml:space="preserve">必须</w:t>
            </w:r>
            <w:r>
              <w:rPr>
                <w:rFonts w:hint="eastAsia" w:ascii="宋体" w:hAnsi="宋体" w:eastAsia="宋体" w:cs="宋体"/>
                <w:color w:val="auto"/>
                <w:sz w:val="24"/>
                <w:szCs w:val="24"/>
                <w:highlight w:val="none"/>
                <w:u w:val="none"/>
              </w:rPr>
              <w:t xml:space="preserve">使用不同材质，不同材质间应便于分离； </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（3）商品包装中铅、汞、镉、六价铬的总含量应不大于 100mg/kg； </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（4）商品包装印刷使用的油墨中挥发性有机化合物</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VOCs</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 含量应不大于 5%（以重量计）； </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（5）塑料材质商品包装上呈现的印刷颜色不得超过 6 色； </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（6）纸质商品包装应使用 75%以上的可再生纤维原料生产； </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（7）木质商品包装的原料应来源于可持续性森林。 </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注：检测方法 1.商品包装中重金属（铅、汞、镉、六价铬）总量的检 测按照 GB/T 10004-2008《包装用塑料复合膜、袋干法复合、 挤出复合》规定的方法进行。 2.商品包装印刷使用的油墨中挥发性有机化合物</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VOCs</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 的检测按照 GB/T 23986-2009《色漆和清漆挥发性有机化合 物</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VOC</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含量的测定 气相色谱法》规定的方法。</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2.</w:t>
            </w:r>
            <w:r>
              <w:rPr>
                <w:rFonts w:hint="eastAsia" w:ascii="宋体" w:hAnsi="宋体" w:eastAsia="宋体" w:cs="宋体"/>
                <w:color w:val="auto"/>
                <w:sz w:val="24"/>
                <w:szCs w:val="24"/>
                <w:highlight w:val="none"/>
                <w:u w:val="none"/>
              </w:rPr>
              <w:t xml:space="preserve">快递包装环保要求</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（1）快递包装中重金属（铅、汞、镉、六价铬）总量应不大于100mg/kg；</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（2）快递包装印刷使用的油墨中不应添加邻苯二甲酸酯，其挥发性有机化合物</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VOCs</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含量应不大于5%（以重量计）；</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（3）快递包装中使用纸基材的包装材料，纸基材中的有机氯的含量应不大于150 mg/kg；</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（4）快递包装中使用塑料基材的包装材料不得使用邻苯二甲酸二异壬酯、邻苯二甲酸二正辛酯、邻苯二甲酸二</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2-乙基</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己酯、邻苯二甲酸二异癸酯、邻苯二甲酸丁基苄基酯、邻苯二甲酸二丁酯等作为增塑剂；</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（5）快递中使用的塑料包装袋不得使用聚氯乙烯作为原料，且原料应为单一材质制成，生物分解率大于60%；</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（6）快递中使用的充气类填充物不得使用聚氯乙烯作为原料，且原料为单一材质制成，生物分解率大于60%；</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（7）快递中使用的集装袋应为单一材质制成，其重复使用次数应不小于80 次；</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（8）快递中应使用幅宽不大于45mm 的生物降解胶带；</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（9）快递包装中不得使用溶剂型胶粘剂；</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（10）快递应使用电子面单；</w:t>
            </w:r>
            <w:r/>
          </w:p>
          <w:p>
            <w:pPr>
              <w:ind w:left="0" w:right="0" w:firstLine="420"/>
              <w:spacing w:beforeAutospacing="0" w:afterAutospacing="0" w:line="44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（11）直接使用商品包装作为快递包装的商品，其商品包装满足《商品包装政府采购需求标准（试行）》即可；</w:t>
            </w:r>
            <w:r/>
          </w:p>
          <w:p>
            <w:pPr>
              <w:ind w:left="0" w:right="0" w:firstLine="42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（12）快递包装产品质量和封装方式应符合相关国家或行业标准技术指标要求。</w:t>
            </w:r>
            <w:r/>
          </w:p>
        </w:tc>
      </w:tr>
      <w:tr>
        <w:trPr>
          <w:trHeight w:val="667"/>
        </w:trPr>
        <w:tc>
          <w:tcPr>
            <w:tcW w:w="1900" w:type="dxa"/>
            <w:vAlign w:val="center"/>
            <w:vMerge w:val="continue"/>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指定现场</w:t>
            </w:r>
            <w:r/>
          </w:p>
        </w:tc>
        <w:tc>
          <w:tcPr>
            <w:tcW w:w="5225" w:type="dxa"/>
            <w:vAlign w:val="center"/>
            <w:textDirection w:val="lrTb"/>
            <w:noWrap w:val="false"/>
          </w:tcPr>
          <w:p>
            <w:pPr>
              <w:ind w:left="0" w:right="0" w:firstLine="42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甲方指定地点。</w:t>
            </w:r>
            <w:r/>
          </w:p>
        </w:tc>
      </w:tr>
      <w:tr>
        <w:trPr>
          <w:trHeight w:val="772"/>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第7.2款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运输特殊要求</w:t>
            </w:r>
            <w:r/>
          </w:p>
        </w:tc>
        <w:tc>
          <w:tcPr>
            <w:tcW w:w="5225" w:type="dxa"/>
            <w:vAlign w:val="center"/>
            <w:textDirection w:val="lrTb"/>
            <w:noWrap w:val="false"/>
          </w:tcPr>
          <w:p>
            <w:pPr>
              <w:ind w:left="0" w:right="0" w:firstLine="42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由乙方视情况自定运输方式，费用自负。</w:t>
            </w:r>
            <w:r/>
          </w:p>
        </w:tc>
      </w:tr>
      <w:tr>
        <w:trPr>
          <w:trHeight w:val="667"/>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第7.3款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保险要求</w:t>
            </w:r>
            <w:r/>
          </w:p>
        </w:tc>
        <w:tc>
          <w:tcPr>
            <w:tcW w:w="5225" w:type="dxa"/>
            <w:vAlign w:val="center"/>
            <w:textDirection w:val="lrTb"/>
            <w:noWrap w:val="false"/>
          </w:tcPr>
          <w:p>
            <w:pPr>
              <w:ind w:left="0" w:right="0" w:firstLine="42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p>
        </w:tc>
      </w:tr>
      <w:tr>
        <w:trPr>
          <w:trHeight w:val="736"/>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第8.2（1）项</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质量保证期</w:t>
            </w:r>
            <w:r/>
          </w:p>
        </w:tc>
        <w:tc>
          <w:tcPr>
            <w:tcW w:w="5225" w:type="dxa"/>
            <w:vAlign w:val="center"/>
            <w:textDirection w:val="lrTb"/>
            <w:noWrap w:val="false"/>
          </w:tcPr>
          <w:p>
            <w:pPr>
              <w:ind w:left="0" w:right="0" w:firstLine="42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设备验收通过之日起，提供</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年的原厂免费全保。</w:t>
            </w:r>
            <w:r/>
          </w:p>
          <w:p>
            <w:pPr>
              <w:numPr>
                <w:ilvl w:val="0"/>
                <w:numId w:val="0"/>
              </w:numPr>
              <w:ind w:left="0" w:right="0"/>
              <w:jc w:val="left"/>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备注：签订合同时根据乙方投标文件响应内容调整。</w:t>
            </w:r>
            <w:r/>
          </w:p>
        </w:tc>
      </w:tr>
      <w:tr>
        <w:trPr>
          <w:trHeight w:val="90"/>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第8.2（3）项</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货物质量缺陷</w:t>
            </w:r>
            <w:r/>
          </w:p>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响应时间</w:t>
            </w:r>
            <w:r/>
          </w:p>
        </w:tc>
        <w:tc>
          <w:tcPr>
            <w:tcW w:w="5225" w:type="dxa"/>
            <w:vAlign w:val="center"/>
            <w:textDirection w:val="lrTb"/>
            <w:noWrap w:val="false"/>
          </w:tcPr>
          <w:p>
            <w:pPr>
              <w:ind w:left="0" w:right="0" w:firstLine="42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免费全保期内，应在接到故障通知2小时内作出有效响应，如需现场解决，到达现场时间不超过8小时，特殊情况下不超过24小时内到达现场免费予以排除故障、修复或更换零部件。确保甲方能正常开展工作，设备在设计</w:t>
            </w:r>
            <w:r>
              <w:rPr>
                <w:rFonts w:hint="eastAsia" w:ascii="宋体" w:hAnsi="宋体" w:cs="宋体"/>
                <w:color w:val="auto"/>
                <w:sz w:val="24"/>
                <w:szCs w:val="24"/>
                <w:highlight w:val="none"/>
                <w:lang w:eastAsia="zh-CN"/>
              </w:rPr>
              <w:t xml:space="preserve">使用</w:t>
            </w:r>
            <w:r>
              <w:rPr>
                <w:rFonts w:hint="eastAsia" w:ascii="宋体" w:hAnsi="宋体" w:eastAsia="宋体" w:cs="宋体"/>
                <w:color w:val="auto"/>
                <w:sz w:val="24"/>
                <w:szCs w:val="24"/>
                <w:highlight w:val="none"/>
              </w:rPr>
              <w:t xml:space="preserve">周期内，保证更换到原厂配件。如3个工作日内不能修复必须提供备用机使用，确保甲方能正常开展工作，设备在设计</w:t>
            </w:r>
            <w:r>
              <w:rPr>
                <w:rFonts w:hint="eastAsia" w:ascii="宋体" w:hAnsi="宋体" w:cs="宋体"/>
                <w:color w:val="auto"/>
                <w:sz w:val="24"/>
                <w:szCs w:val="24"/>
                <w:highlight w:val="none"/>
                <w:lang w:eastAsia="zh-CN"/>
              </w:rPr>
              <w:t xml:space="preserve">使用</w:t>
            </w:r>
            <w:r>
              <w:rPr>
                <w:rFonts w:hint="eastAsia" w:ascii="宋体" w:hAnsi="宋体" w:eastAsia="宋体" w:cs="宋体"/>
                <w:color w:val="auto"/>
                <w:sz w:val="24"/>
                <w:szCs w:val="24"/>
                <w:highlight w:val="none"/>
              </w:rPr>
              <w:t xml:space="preserve">周期内，保证更换到原厂配件。</w:t>
            </w:r>
            <w:r/>
          </w:p>
          <w:p>
            <w:pPr>
              <w:pStyle w:val="939"/>
              <w:ind w:left="0" w:right="0" w:firstLine="420"/>
              <w:spacing w:beforeAutospacing="0" w:afterAutospacing="0" w:line="440" w:lineRule="exact"/>
              <w:rPr>
                <w:rFonts w:hint="eastAsia" w:ascii="宋体" w:hAnsi="宋体" w:eastAsia="宋体" w:cs="宋体"/>
                <w:color w:val="auto"/>
                <w:sz w:val="24"/>
                <w:szCs w:val="24"/>
                <w:highlight w:val="none"/>
                <w:lang w:val="en-US"/>
              </w:rPr>
            </w:pPr>
            <w:r>
              <w:rPr>
                <w:rFonts w:hint="eastAsia" w:ascii="宋体" w:hAnsi="宋体" w:eastAsia="宋体" w:cs="宋体"/>
                <w:b/>
                <w:bCs w:val="0"/>
                <w:color w:val="auto"/>
                <w:sz w:val="24"/>
                <w:szCs w:val="24"/>
                <w:highlight w:val="none"/>
                <w:lang w:val="en-US" w:eastAsia="zh-CN" w:bidi="ar-SA"/>
              </w:rPr>
              <w:t xml:space="preserve">备注：签订合同时根据乙方投标文件响应内容调整。</w:t>
            </w:r>
            <w:r/>
          </w:p>
        </w:tc>
      </w:tr>
      <w:tr>
        <w:trPr>
          <w:trHeight w:val="736"/>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pStyle w:val="937"/>
              <w:ind w:left="0" w:right="0" w:firstLine="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第11.1款</w:t>
            </w:r>
            <w:r/>
          </w:p>
        </w:tc>
        <w:tc>
          <w:tcPr>
            <w:tcW w:w="1812"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其他应当保密的信息</w:t>
            </w:r>
            <w:r/>
          </w:p>
        </w:tc>
        <w:tc>
          <w:tcPr>
            <w:tcW w:w="5225" w:type="dxa"/>
            <w:vAlign w:val="center"/>
            <w:textDirection w:val="lrTb"/>
            <w:noWrap w:val="false"/>
          </w:tcPr>
          <w:p>
            <w:pPr>
              <w:ind w:left="0" w:right="0" w:firstLine="42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r>
      <w:tr>
        <w:trPr>
          <w:trHeight w:val="697"/>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第12.2款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合同价款支付时间</w:t>
            </w:r>
            <w:r/>
          </w:p>
        </w:tc>
        <w:tc>
          <w:tcPr>
            <w:tcW w:w="5225" w:type="dxa"/>
            <w:vAlign w:val="center"/>
            <w:textDirection w:val="lrTb"/>
            <w:noWrap w:val="false"/>
          </w:tcPr>
          <w:p>
            <w:pPr>
              <w:ind w:left="0" w:right="0" w:firstLine="42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自收到乙方发票后10个工作日内。</w:t>
            </w:r>
            <w:r/>
          </w:p>
        </w:tc>
      </w:tr>
      <w:tr>
        <w:trPr>
          <w:trHeight w:val="697"/>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第13.2款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履约保证金不予退还的情形</w:t>
            </w:r>
            <w:r/>
          </w:p>
        </w:tc>
        <w:tc>
          <w:tcPr>
            <w:tcW w:w="5225" w:type="dxa"/>
            <w:vAlign w:val="center"/>
            <w:textDirection w:val="lrTb"/>
            <w:noWrap w:val="false"/>
          </w:tcPr>
          <w:p>
            <w:pPr>
              <w:ind w:left="0" w:right="0" w:firstLine="420"/>
              <w:jc w:val="left"/>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除不可抗力外，乙方不履行与甲方订立的采购合同的，履约保证金不予退还，给甲方造成的损失超过履约保证金数额的，还应当对超过部分予以赔偿。</w:t>
            </w:r>
            <w:r/>
          </w:p>
        </w:tc>
      </w:tr>
      <w:tr>
        <w:trPr>
          <w:trHeight w:val="356"/>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第13.3款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履约保证金退还时间及逾期退还的违约金</w:t>
            </w:r>
            <w:r/>
          </w:p>
        </w:tc>
        <w:tc>
          <w:tcPr>
            <w:tcW w:w="5225" w:type="dxa"/>
            <w:vAlign w:val="center"/>
            <w:textDirection w:val="lrTb"/>
            <w:noWrap w:val="false"/>
          </w:tcPr>
          <w:p>
            <w:pPr>
              <w:ind w:left="0" w:right="0" w:firstLine="42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不涉及</w:t>
            </w:r>
            <w:r/>
          </w:p>
        </w:tc>
      </w:tr>
      <w:tr>
        <w:trPr>
          <w:trHeight w:val="784"/>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第14.1（3）项</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运行监督、维修期限</w:t>
            </w:r>
            <w:r/>
          </w:p>
        </w:tc>
        <w:tc>
          <w:tcPr>
            <w:tcW w:w="5225" w:type="dxa"/>
            <w:vAlign w:val="center"/>
            <w:textDirection w:val="lrTb"/>
            <w:noWrap w:val="false"/>
          </w:tcPr>
          <w:p>
            <w:pPr>
              <w:ind w:left="0" w:right="0" w:firstLine="42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设备验收通过之日起，提供3年的原厂免费全保。</w:t>
            </w:r>
            <w:r/>
          </w:p>
          <w:p>
            <w:pPr>
              <w:ind w:left="0" w:right="0" w:firstLine="420"/>
              <w:jc w:val="left"/>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备注：签订合同时根据乙方投标文件响应内容调整。</w:t>
            </w:r>
            <w:r/>
          </w:p>
        </w:tc>
      </w:tr>
      <w:tr>
        <w:trPr>
          <w:trHeight w:val="784"/>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第14.1（5）项</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货物回收的约定</w:t>
            </w:r>
            <w:r/>
          </w:p>
        </w:tc>
        <w:tc>
          <w:tcPr>
            <w:tcW w:w="5225" w:type="dxa"/>
            <w:vAlign w:val="center"/>
            <w:textDirection w:val="lrTb"/>
            <w:noWrap w:val="false"/>
          </w:tcPr>
          <w:p>
            <w:pPr>
              <w:ind w:left="0" w:right="0" w:firstLine="42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由甲乙双方合议定价。</w:t>
            </w:r>
            <w:r/>
          </w:p>
        </w:tc>
      </w:tr>
      <w:tr>
        <w:trPr>
          <w:trHeight w:val="736"/>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第14.1（6）项</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乙方提供的其他服务</w:t>
            </w:r>
            <w:r/>
          </w:p>
        </w:tc>
        <w:tc>
          <w:tcPr>
            <w:tcW w:w="5225" w:type="dxa"/>
            <w:vAlign w:val="center"/>
            <w:textDirection w:val="lrTb"/>
            <w:noWrap w:val="false"/>
          </w:tcPr>
          <w:p>
            <w:pPr>
              <w:ind w:left="0" w:right="0" w:firstLine="42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详见乙方</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w:t>
            </w:r>
            <w:r/>
          </w:p>
        </w:tc>
      </w:tr>
      <w:tr>
        <w:trPr>
          <w:trHeight w:val="736"/>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第15.1款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修理、重</w:t>
            </w:r>
            <w:r>
              <w:rPr>
                <w:rFonts w:hint="eastAsia" w:ascii="宋体" w:hAnsi="宋体" w:cs="宋体"/>
                <w:color w:val="auto"/>
                <w:sz w:val="24"/>
                <w:szCs w:val="24"/>
                <w:highlight w:val="none"/>
                <w:lang w:eastAsia="zh-CN"/>
              </w:rPr>
              <w:t xml:space="preserve">做</w:t>
            </w:r>
            <w:r>
              <w:rPr>
                <w:rFonts w:hint="eastAsia" w:ascii="宋体" w:hAnsi="宋体" w:eastAsia="宋体" w:cs="宋体"/>
                <w:color w:val="auto"/>
                <w:sz w:val="24"/>
                <w:szCs w:val="24"/>
                <w:highlight w:val="none"/>
              </w:rPr>
              <w:t xml:space="preserve">、更换相关具体规定</w:t>
            </w:r>
            <w:r/>
          </w:p>
        </w:tc>
        <w:tc>
          <w:tcPr>
            <w:tcW w:w="5225" w:type="dxa"/>
            <w:vAlign w:val="center"/>
            <w:textDirection w:val="lrTb"/>
            <w:noWrap w:val="false"/>
          </w:tcPr>
          <w:p>
            <w:pPr>
              <w:ind w:left="0" w:right="0" w:firstLine="42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1.乙方应按招标文件规定的货物性能、技术要求、质量标准向甲方提供未经使用的全新产品。</w:t>
            </w:r>
            <w:r/>
          </w:p>
          <w:p>
            <w:pPr>
              <w:ind w:left="0" w:right="0" w:firstLine="42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2.乙方提供的货物在售后服务期内因货物本身的质量问题发生故障，乙方应负责免费更换。对达不到技术要求者，根据实际情况，经双方协商，可按以下办法处理：</w:t>
            </w:r>
            <w:r/>
          </w:p>
          <w:p>
            <w:pPr>
              <w:ind w:left="0" w:right="0" w:firstLine="42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⑴修理、重作、更换：由乙方承担所发生的全部费用。</w:t>
            </w:r>
            <w:r/>
          </w:p>
          <w:p>
            <w:pPr>
              <w:ind w:left="0" w:right="0" w:firstLine="42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⑵贬值处理：由甲乙双方合议定价。</w:t>
            </w:r>
            <w:r/>
          </w:p>
          <w:p>
            <w:pPr>
              <w:ind w:left="0" w:right="0" w:firstLine="42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⑶退货处理：乙方应退还甲方支付的合同款，同时应承担该货物的直接费用（运输、保险、检验、货款利息及银行手续费等）。</w:t>
            </w:r>
            <w:r/>
          </w:p>
          <w:p>
            <w:pPr>
              <w:ind w:left="0" w:right="0" w:firstLine="42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售后服务期内，应在接到故障通知2小时内作出有效响应，如需现场解决，到达现场时间不超过8小时，特殊情况下不超过24小时内到达现场免费予以排除故障、修复或更换零部件。确保甲方能正常开展工作，设备在设计有</w:t>
            </w:r>
            <w:r>
              <w:rPr>
                <w:rFonts w:hint="eastAsia" w:ascii="宋体" w:hAnsi="宋体" w:cs="宋体"/>
                <w:color w:val="auto"/>
                <w:sz w:val="24"/>
                <w:szCs w:val="24"/>
                <w:highlight w:val="none"/>
                <w:lang w:val="en-US" w:eastAsia="zh-CN"/>
              </w:rPr>
              <w:t xml:space="preserve">效</w:t>
            </w:r>
            <w:r>
              <w:rPr>
                <w:rFonts w:hint="eastAsia" w:ascii="宋体" w:hAnsi="宋体" w:eastAsia="宋体" w:cs="宋体"/>
                <w:color w:val="auto"/>
                <w:sz w:val="24"/>
                <w:szCs w:val="24"/>
                <w:highlight w:val="none"/>
              </w:rPr>
              <w:t xml:space="preserve">周期内，保证更换到原厂配件。在售后服务期内，乙方应对货物出现的质量及安全问题负责处理解决并承担一切费用。</w:t>
            </w:r>
            <w:r/>
          </w:p>
          <w:p>
            <w:pPr>
              <w:ind w:left="0" w:right="0" w:firstLine="420"/>
              <w:jc w:val="left"/>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备注：签订合同时根据乙方投标文件响应内容调整。</w:t>
            </w:r>
            <w:r/>
          </w:p>
        </w:tc>
      </w:tr>
      <w:tr>
        <w:trPr>
          <w:trHeight w:val="736"/>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第15.2（2）项</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迟延交货赔偿费</w:t>
            </w:r>
            <w:r/>
          </w:p>
        </w:tc>
        <w:tc>
          <w:tcPr>
            <w:tcW w:w="5225" w:type="dxa"/>
            <w:vAlign w:val="center"/>
            <w:textDirection w:val="lrTb"/>
            <w:noWrap w:val="false"/>
          </w:tcPr>
          <w:p>
            <w:pPr>
              <w:ind w:left="0" w:right="0" w:firstLine="42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乙方不按期完成合同约定的内容，应向甲方支付违约金，除甲方或不可抗力造成原因外，每延迟交付一天，按合同总价款的</w:t>
            </w:r>
            <w:r>
              <w:rPr>
                <w:rFonts w:hint="eastAsia" w:ascii="宋体" w:hAnsi="宋体" w:eastAsia="宋体" w:cs="宋体"/>
                <w:color w:val="auto"/>
                <w:sz w:val="24"/>
                <w:szCs w:val="24"/>
                <w:highlight w:val="none"/>
                <w:lang w:val="en-US" w:eastAsia="zh-CN"/>
              </w:rPr>
              <w:t xml:space="preserve">千</w:t>
            </w:r>
            <w:r>
              <w:rPr>
                <w:rFonts w:hint="eastAsia" w:ascii="宋体" w:hAnsi="宋体" w:eastAsia="宋体" w:cs="宋体"/>
                <w:color w:val="auto"/>
                <w:sz w:val="24"/>
                <w:szCs w:val="24"/>
                <w:highlight w:val="none"/>
              </w:rPr>
              <w:t xml:space="preserve">分之一支付违约金，违约金可直接从待付货款中扣除；延期超过10 日，甲方有权强制解除合同。</w:t>
            </w:r>
            <w:r/>
          </w:p>
        </w:tc>
      </w:tr>
      <w:tr>
        <w:trPr>
          <w:trHeight w:val="129"/>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第15.3款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逾期付款利息</w:t>
            </w:r>
            <w:r/>
          </w:p>
        </w:tc>
        <w:tc>
          <w:tcPr>
            <w:tcW w:w="5225" w:type="dxa"/>
            <w:vAlign w:val="center"/>
            <w:textDirection w:val="lrTb"/>
            <w:noWrap w:val="false"/>
          </w:tcPr>
          <w:p>
            <w:pPr>
              <w:ind w:left="0" w:right="0" w:firstLine="42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甲方无故逾期验收和办理货款支付手续的，甲方应按逾期付款总额每日</w:t>
            </w:r>
            <w:r>
              <w:rPr>
                <w:rFonts w:hint="eastAsia" w:ascii="宋体" w:hAnsi="宋体" w:eastAsia="宋体" w:cs="宋体"/>
                <w:color w:val="auto"/>
                <w:sz w:val="24"/>
                <w:szCs w:val="24"/>
                <w:highlight w:val="none"/>
                <w:lang w:val="en-US" w:eastAsia="zh-CN"/>
              </w:rPr>
              <w:t xml:space="preserve">千</w:t>
            </w:r>
            <w:r>
              <w:rPr>
                <w:rFonts w:hint="eastAsia" w:ascii="宋体" w:hAnsi="宋体" w:eastAsia="宋体" w:cs="宋体"/>
                <w:color w:val="auto"/>
                <w:sz w:val="24"/>
                <w:szCs w:val="24"/>
                <w:highlight w:val="none"/>
              </w:rPr>
              <w:t xml:space="preserve">分之一向乙方支付违约金。</w:t>
            </w:r>
            <w:r/>
          </w:p>
        </w:tc>
      </w:tr>
      <w:tr>
        <w:trPr>
          <w:trHeight w:val="876"/>
        </w:trPr>
        <w:tc>
          <w:tcPr>
            <w:tcBorders>
              <w:bottom w:val="single" w:color="auto" w:sz="2" w:space="0"/>
              <w:right w:val="single" w:color="auto" w:sz="2" w:space="0"/>
            </w:tcBorders>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第15.4款</w:t>
            </w:r>
            <w:r/>
          </w:p>
        </w:tc>
        <w:tc>
          <w:tcPr>
            <w:tcBorders>
              <w:left w:val="single" w:color="auto" w:sz="2" w:space="0"/>
              <w:bottom w:val="single" w:color="auto" w:sz="2" w:space="0"/>
              <w:right w:val="single" w:color="auto" w:sz="2" w:space="0"/>
            </w:tcBorders>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其他违约责任</w:t>
            </w:r>
            <w:r/>
          </w:p>
        </w:tc>
        <w:tc>
          <w:tcPr>
            <w:tcBorders>
              <w:left w:val="single" w:color="auto" w:sz="2" w:space="0"/>
              <w:bottom w:val="single" w:color="auto" w:sz="2" w:space="0"/>
            </w:tcBorders>
            <w:tcW w:w="5225" w:type="dxa"/>
            <w:vAlign w:val="center"/>
            <w:textDirection w:val="lrTb"/>
            <w:noWrap w:val="false"/>
          </w:tcPr>
          <w:p>
            <w:pPr>
              <w:ind w:left="0" w:right="0" w:firstLine="420"/>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本项目售后服务期内，乙方不能提供原厂免费全保的，按合同总价款的20%支付违约金。</w:t>
            </w:r>
            <w:r/>
          </w:p>
          <w:p>
            <w:pPr>
              <w:ind w:left="0" w:right="0" w:firstLine="422"/>
              <w:jc w:val="left"/>
              <w:spacing w:beforeAutospacing="0" w:afterAutospacing="0"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备注：签订合同时根据乙方投标文件响应内容调整。</w:t>
            </w:r>
            <w:r/>
          </w:p>
          <w:p>
            <w:pPr>
              <w:ind w:left="0" w:right="0" w:firstLine="42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Borders>
              <w:top w:val="single" w:color="auto" w:sz="2" w:space="0"/>
              <w:right w:val="single" w:color="auto" w:sz="2" w:space="0"/>
            </w:tcBorders>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第19.2款</w:t>
            </w:r>
            <w:r/>
          </w:p>
        </w:tc>
        <w:tc>
          <w:tcPr>
            <w:tcBorders>
              <w:top w:val="single" w:color="auto" w:sz="2" w:space="0"/>
              <w:left w:val="single" w:color="auto" w:sz="2" w:space="0"/>
              <w:right w:val="single" w:color="auto" w:sz="2" w:space="0"/>
            </w:tcBorders>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解决争议的方法</w:t>
            </w:r>
            <w:r/>
          </w:p>
        </w:tc>
        <w:tc>
          <w:tcPr>
            <w:tcBorders>
              <w:top w:val="single" w:color="auto" w:sz="2" w:space="0"/>
              <w:left w:val="single" w:color="auto" w:sz="2" w:space="0"/>
            </w:tcBorders>
            <w:tcW w:w="5225" w:type="dxa"/>
            <w:vAlign w:val="center"/>
            <w:textDirection w:val="lrTb"/>
            <w:noWrap w:val="false"/>
          </w:tcPr>
          <w:p>
            <w:pPr>
              <w:ind w:left="0" w:right="0" w:firstLine="480"/>
              <w:jc w:val="left"/>
              <w:spacing w:beforeAutospacing="0" w:afterAutospacing="0" w:line="440" w:lineRule="exac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因本合同及合同有关事项发生的争议，按下列第</w:t>
            </w:r>
            <w:r>
              <w:rPr>
                <w:rFonts w:hint="eastAsia" w:ascii="宋体" w:hAnsi="宋体" w:eastAsia="宋体" w:cs="宋体"/>
                <w:iCs/>
                <w:color w:val="auto"/>
                <w:sz w:val="24"/>
                <w:szCs w:val="24"/>
                <w:highlight w:val="none"/>
                <w:u w:val="single"/>
              </w:rPr>
              <w:t xml:space="preserve">（2）</w:t>
            </w:r>
            <w:r>
              <w:rPr>
                <w:rFonts w:hint="eastAsia" w:ascii="宋体" w:hAnsi="宋体" w:eastAsia="宋体" w:cs="宋体"/>
                <w:iCs/>
                <w:color w:val="auto"/>
                <w:sz w:val="24"/>
                <w:szCs w:val="24"/>
                <w:highlight w:val="none"/>
              </w:rPr>
              <w:t xml:space="preserve">种方式解决：</w:t>
            </w:r>
            <w:r/>
          </w:p>
          <w:p>
            <w:pPr>
              <w:ind w:left="0" w:right="0"/>
              <w:jc w:val="left"/>
              <w:spacing w:beforeAutospacing="0" w:afterAutospacing="0" w:line="440" w:lineRule="exac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（1）向</w:t>
            </w:r>
            <w:r>
              <w:rPr>
                <w:rFonts w:hint="eastAsia" w:ascii="宋体" w:hAnsi="宋体" w:eastAsia="宋体" w:cs="宋体"/>
                <w:iCs/>
                <w:color w:val="auto"/>
                <w:sz w:val="24"/>
                <w:szCs w:val="24"/>
                <w:highlight w:val="none"/>
                <w:u w:val="single"/>
              </w:rPr>
              <w:t xml:space="preserve"> / </w:t>
            </w:r>
            <w:r>
              <w:rPr>
                <w:rFonts w:hint="eastAsia" w:ascii="宋体" w:hAnsi="宋体" w:eastAsia="宋体" w:cs="宋体"/>
                <w:iCs/>
                <w:color w:val="auto"/>
                <w:sz w:val="24"/>
                <w:szCs w:val="24"/>
                <w:highlight w:val="none"/>
              </w:rPr>
              <w:t xml:space="preserve">仲裁委员会申请仲裁，仲裁地点为</w:t>
            </w:r>
            <w:r>
              <w:rPr>
                <w:rFonts w:hint="eastAsia" w:ascii="宋体" w:hAnsi="宋体" w:eastAsia="宋体" w:cs="宋体"/>
                <w:iCs/>
                <w:color w:val="auto"/>
                <w:sz w:val="24"/>
                <w:szCs w:val="24"/>
                <w:highlight w:val="none"/>
                <w:u w:val="single"/>
              </w:rPr>
              <w:t xml:space="preserve"> / </w:t>
            </w:r>
            <w:r>
              <w:rPr>
                <w:rFonts w:hint="eastAsia" w:ascii="宋体" w:hAnsi="宋体" w:eastAsia="宋体" w:cs="宋体"/>
                <w:iCs/>
                <w:color w:val="auto"/>
                <w:sz w:val="24"/>
                <w:szCs w:val="24"/>
                <w:highlight w:val="none"/>
              </w:rPr>
              <w:t xml:space="preserve">；</w:t>
            </w:r>
            <w:r/>
          </w:p>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iCs/>
                <w:color w:val="auto"/>
                <w:sz w:val="24"/>
                <w:szCs w:val="24"/>
                <w:highlight w:val="none"/>
              </w:rPr>
              <w:t xml:space="preserve">（2）向 </w:t>
            </w:r>
            <w:r>
              <w:rPr>
                <w:rFonts w:hint="eastAsia" w:ascii="宋体" w:hAnsi="宋体" w:eastAsia="宋体" w:cs="宋体"/>
                <w:iCs/>
                <w:color w:val="auto"/>
                <w:sz w:val="24"/>
                <w:szCs w:val="24"/>
                <w:highlight w:val="none"/>
                <w:u w:val="single"/>
              </w:rPr>
              <w:t xml:space="preserve">泗洪县 </w:t>
            </w:r>
            <w:r>
              <w:rPr>
                <w:rFonts w:hint="eastAsia" w:ascii="宋体" w:hAnsi="宋体" w:eastAsia="宋体" w:cs="宋体"/>
                <w:iCs/>
                <w:color w:val="auto"/>
                <w:sz w:val="24"/>
                <w:szCs w:val="24"/>
                <w:highlight w:val="none"/>
              </w:rPr>
              <w:t xml:space="preserve">人民法院起诉。</w:t>
            </w:r>
            <w:r/>
          </w:p>
        </w:tc>
      </w:tr>
      <w:tr>
        <w:trPr>
          <w:trHeight w:val="770"/>
        </w:trPr>
        <w:tc>
          <w:tcPr>
            <w:tcW w:w="190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第23.1款</w:t>
            </w:r>
            <w:r/>
          </w:p>
        </w:tc>
        <w:tc>
          <w:tcPr>
            <w:tcW w:w="1812"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其他专用条款</w:t>
            </w:r>
            <w:r/>
          </w:p>
        </w:tc>
        <w:tc>
          <w:tcPr>
            <w:tcW w:w="5225" w:type="dxa"/>
            <w:vAlign w:val="center"/>
            <w:textDirection w:val="lrTb"/>
            <w:noWrap w:val="false"/>
          </w:tcPr>
          <w:p>
            <w:pPr>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tc>
      </w:tr>
    </w:tbl>
    <w:p>
      <w:pPr>
        <w:pStyle w:val="911"/>
        <w:ind w:left="0" w:right="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bookmarkStart w:id="133" w:name="_Toc20257"/>
      <w:r/>
      <w:bookmarkStart w:id="134" w:name="_Toc176774462"/>
      <w:r/>
      <w:r/>
    </w:p>
    <w:p>
      <w:pPr>
        <w:pStyle w:val="91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91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91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91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91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91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91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911"/>
        <w:ind w:left="0" w:right="0" w:firstLine="420"/>
        <w:jc w:val="center"/>
        <w:spacing w:before="0" w:beforeAutospacing="0" w:after="0" w:afterAutospacing="0" w:line="440" w:lineRule="exact"/>
        <w:rPr>
          <w:rFonts w:hint="eastAsia" w:ascii="宋体" w:hAnsi="宋体" w:eastAsia="宋体" w:cs="宋体"/>
          <w:b/>
          <w:bCs/>
          <w:color w:val="auto"/>
          <w:sz w:val="24"/>
          <w:szCs w:val="24"/>
          <w:highlight w:val="none"/>
          <w:shd w:val="clear" w:color="auto" w:fill="ffffff"/>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auto"/>
          <w:sz w:val="24"/>
          <w:szCs w:val="24"/>
          <w:highlight w:val="none"/>
          <w:shd w:val="clear" w:color="auto" w:fill="ffffff"/>
        </w:rPr>
      </w:r>
      <w:r/>
    </w:p>
    <w:p>
      <w:pPr>
        <w:pStyle w:val="911"/>
        <w:ind w:right="0"/>
        <w:jc w:val="center"/>
        <w:spacing w:before="0" w:beforeAutospacing="0" w:after="0" w:afterAutospacing="0" w:line="440" w:lineRule="exact"/>
        <w:rPr>
          <w:rFonts w:hint="eastAsia" w:ascii="宋体" w:hAnsi="宋体" w:eastAsia="宋体" w:cs="宋体"/>
          <w:b/>
          <w:bCs/>
          <w:color w:val="auto"/>
          <w:sz w:val="36"/>
          <w:szCs w:val="36"/>
          <w:highlight w:val="none"/>
          <w:shd w:val="clear" w:color="auto" w:fill="ffffff"/>
        </w:rPr>
      </w:pPr>
      <w:r>
        <w:rPr>
          <w:rFonts w:hint="eastAsia" w:ascii="宋体" w:hAnsi="宋体" w:eastAsia="宋体" w:cs="宋体"/>
          <w:b/>
          <w:bCs/>
          <w:color w:val="auto"/>
          <w:sz w:val="36"/>
          <w:szCs w:val="36"/>
          <w:highlight w:val="none"/>
          <w:shd w:val="clear" w:color="auto" w:fill="ffffff"/>
        </w:rPr>
        <w:t xml:space="preserve">第六部分  投标文件格式</w:t>
      </w:r>
      <w:bookmarkEnd w:id="133"/>
      <w:r/>
      <w:bookmarkEnd w:id="134"/>
      <w:r/>
      <w:r/>
    </w:p>
    <w:p>
      <w:pPr>
        <w:pStyle w:val="911"/>
        <w:ind w:left="0" w:right="0"/>
        <w:jc w:val="center"/>
        <w:spacing w:before="0" w:beforeAutospacing="0" w:after="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1"/>
        <w:ind w:left="0" w:right="0"/>
        <w:jc w:val="center"/>
        <w:spacing w:before="0" w:beforeAutospacing="0" w:after="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1"/>
        <w:ind w:left="0" w:right="0"/>
        <w:jc w:val="center"/>
        <w:spacing w:before="0" w:beforeAutospacing="0" w:after="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投  标  文  件</w:t>
      </w:r>
      <w:r/>
    </w:p>
    <w:p>
      <w:pPr>
        <w:pStyle w:val="91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1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1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1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1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11"/>
        <w:ind w:left="0" w:right="0" w:firstLine="1084"/>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项 目 名 称：</w:t>
      </w:r>
      <w:r>
        <w:rPr>
          <w:rFonts w:hint="eastAsia" w:ascii="宋体" w:hAnsi="宋体" w:eastAsia="宋体" w:cs="宋体"/>
          <w:b/>
          <w:bCs/>
          <w:color w:val="auto"/>
          <w:sz w:val="24"/>
          <w:szCs w:val="24"/>
          <w:highlight w:val="none"/>
          <w:u w:val="single"/>
        </w:rPr>
        <w:t xml:space="preserve">               </w:t>
      </w:r>
      <w:r/>
    </w:p>
    <w:p>
      <w:pPr>
        <w:pStyle w:val="911"/>
        <w:ind w:left="0" w:right="0" w:firstLine="1084"/>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项 目 编 号：</w:t>
      </w:r>
      <w:r>
        <w:rPr>
          <w:rFonts w:hint="eastAsia" w:ascii="宋体" w:hAnsi="宋体" w:eastAsia="宋体" w:cs="宋体"/>
          <w:b/>
          <w:bCs/>
          <w:color w:val="auto"/>
          <w:sz w:val="24"/>
          <w:szCs w:val="24"/>
          <w:highlight w:val="none"/>
          <w:u w:val="single"/>
        </w:rPr>
        <w:t xml:space="preserve">               </w:t>
      </w:r>
      <w:r/>
    </w:p>
    <w:p>
      <w:pPr>
        <w:pStyle w:val="911"/>
        <w:ind w:left="0" w:right="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投标人名称 ：</w:t>
      </w:r>
      <w:r>
        <w:rPr>
          <w:rFonts w:hint="eastAsia" w:ascii="宋体" w:hAnsi="宋体" w:eastAsia="宋体" w:cs="宋体"/>
          <w:b/>
          <w:bCs/>
          <w:color w:val="auto"/>
          <w:sz w:val="24"/>
          <w:szCs w:val="24"/>
          <w:highlight w:val="none"/>
          <w:u w:val="single"/>
        </w:rPr>
        <w:t xml:space="preserve">（盖CA电子公章）</w:t>
      </w:r>
      <w:r/>
    </w:p>
    <w:p>
      <w:pPr>
        <w:pStyle w:val="911"/>
        <w:ind w:left="0" w:right="0"/>
        <w:jc w:val="both"/>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日      期 ：</w:t>
      </w:r>
      <w:r>
        <w:rPr>
          <w:rFonts w:hint="eastAsia" w:ascii="宋体" w:hAnsi="宋体" w:eastAsia="宋体" w:cs="宋体"/>
          <w:b/>
          <w:bCs/>
          <w:color w:val="auto"/>
          <w:sz w:val="24"/>
          <w:szCs w:val="24"/>
          <w:highlight w:val="none"/>
          <w:u w:val="single"/>
        </w:rPr>
        <w:t xml:space="preserve">               </w:t>
      </w:r>
      <w:r/>
    </w:p>
    <w:p>
      <w:pPr>
        <w:pStyle w:val="911"/>
        <w:ind w:left="0" w:right="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11"/>
        <w:ind w:left="0" w:right="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11"/>
        <w:ind w:left="0" w:right="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11"/>
        <w:ind w:left="0" w:right="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11"/>
        <w:ind w:left="0" w:right="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11"/>
        <w:ind w:left="0" w:right="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11"/>
        <w:ind w:left="0" w:right="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11"/>
        <w:ind w:left="0" w:right="0"/>
        <w:jc w:val="center"/>
        <w:spacing w:before="0" w:beforeAutospacing="0" w:after="0" w:afterAutospacing="0"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1"/>
        <w:ind w:left="0" w:right="0"/>
        <w:jc w:val="center"/>
        <w:spacing w:before="0" w:beforeAutospacing="0" w:after="0" w:afterAutospacing="0" w:line="440" w:lineRule="exact"/>
        <w:widowControl/>
        <w:rPr>
          <w:rFonts w:hint="eastAsia" w:ascii="宋体" w:hAnsi="宋体" w:eastAsia="宋体" w:cs="宋体"/>
          <w:b/>
          <w:bCs/>
          <w:color w:val="auto"/>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auto"/>
          <w:sz w:val="24"/>
          <w:szCs w:val="24"/>
          <w:highlight w:val="none"/>
        </w:rPr>
      </w:r>
      <w:r/>
    </w:p>
    <w:p>
      <w:pPr>
        <w:pStyle w:val="911"/>
        <w:ind w:left="0" w:right="0"/>
        <w:jc w:val="center"/>
        <w:spacing w:before="0" w:beforeAutospacing="0" w:after="0" w:afterAutospacing="0"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投标文件目录</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一、投标人响应承诺函</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二、投标人基本情况</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三、满足特定资格要求的证明文件（如果设置特定资格要求，则需要提供）</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四、法人授权书</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五、投标函</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六、开标一览表</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七、投标报价明细表</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八、中小企业声明函</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残疾人福利性单位声明函</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、响应及偏离表</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十、项目组成员</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、企业业绩</w:t>
      </w:r>
      <w:r/>
    </w:p>
    <w:p>
      <w:pPr>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、投标所需其他材料</w:t>
      </w:r>
      <w:r/>
    </w:p>
    <w:p>
      <w:pPr>
        <w:pStyle w:val="940"/>
        <w:ind w:left="0" w:right="0"/>
        <w:spacing w:before="0" w:beforeAutospacing="0" w:after="0" w:afterAutospacing="0" w:line="44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1"/>
        <w:ind w:left="0" w:right="0"/>
        <w:spacing w:beforeAutospacing="0" w:afterAutospacing="0" w:line="440" w:lineRule="exact"/>
        <w:rPr>
          <w:rFonts w:hint="eastAsia" w:ascii="宋体" w:hAnsi="宋体" w:eastAsia="宋体" w:cs="宋体"/>
          <w:color w:val="auto"/>
          <w:sz w:val="24"/>
          <w:szCs w:val="24"/>
          <w:highlight w:val="none"/>
        </w:rPr>
      </w:pPr>
      <w:r/>
      <w:bookmarkStart w:id="135" w:name="_Toc23838"/>
      <w:r/>
      <w:bookmarkEnd w:id="135"/>
      <w:r/>
      <w:r/>
    </w:p>
    <w:p>
      <w:pPr>
        <w:pStyle w:val="941"/>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1"/>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1"/>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1"/>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1"/>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2"/>
        <w:ind w:left="0" w:right="0"/>
        <w:spacing w:beforeAutospacing="0" w:afterAutospacing="0" w:line="440" w:lineRule="exact"/>
        <w:rPr>
          <w:rFonts w:hint="eastAsia" w:ascii="宋体" w:hAnsi="宋体" w:eastAsia="宋体" w:cs="宋体"/>
          <w:b/>
          <w:color w:val="auto"/>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bookmarkStart w:id="136" w:name="_Toc120614284"/>
      <w:r/>
      <w:r/>
    </w:p>
    <w:p>
      <w:pPr>
        <w:pStyle w:val="942"/>
        <w:ind w:left="0" w:right="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一、投标声明及承诺函</w:t>
      </w:r>
      <w:r/>
    </w:p>
    <w:p>
      <w:pPr>
        <w:pStyle w:val="942"/>
        <w:ind w:left="0" w:right="0"/>
        <w:jc w:val="left"/>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（采购单位名称）：</w:t>
      </w:r>
      <w:r/>
    </w:p>
    <w:p>
      <w:pPr>
        <w:pStyle w:val="942"/>
        <w:ind w:left="0" w:right="0" w:firstLine="48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项目的招标文件，我方在参加本项目招投标活动中，特做出如下承诺：</w:t>
      </w:r>
      <w:r/>
    </w:p>
    <w:p>
      <w:pPr>
        <w:pStyle w:val="942"/>
        <w:ind w:left="0" w:right="0" w:firstLine="48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一、我方具备《中华人民共和国政府采购法》第二十二条第一款规定的6项条件；</w:t>
      </w:r>
      <w:r/>
    </w:p>
    <w:p>
      <w:pPr>
        <w:pStyle w:val="942"/>
        <w:ind w:left="0" w:right="0" w:firstLine="48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42"/>
        <w:ind w:left="0" w:right="0" w:firstLine="48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三、我方按招标文件要求提交投标文件，响应招标文件规定的投标有效期；</w:t>
      </w:r>
      <w:r/>
    </w:p>
    <w:p>
      <w:pPr>
        <w:pStyle w:val="942"/>
        <w:ind w:left="0" w:right="0" w:firstLine="48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942"/>
        <w:ind w:left="0" w:right="0" w:firstLine="48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942"/>
        <w:ind w:left="0" w:right="0" w:firstLine="48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六、我方同意采购人、采购代理机构将本声明及承诺函上网公开。</w:t>
      </w:r>
      <w:r/>
    </w:p>
    <w:p>
      <w:pPr>
        <w:pStyle w:val="942"/>
        <w:ind w:left="0" w:right="0" w:firstLine="48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2"/>
        <w:ind w:left="0" w:right="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2"/>
        <w:ind w:left="0" w:right="0" w:firstLine="480"/>
        <w:jc w:val="lef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pStyle w:val="942"/>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41"/>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4"/>
          <w:szCs w:val="24"/>
          <w:highlight w:val="none"/>
        </w:rPr>
        <w:t xml:space="preserve">二、投标人基本情况</w:t>
      </w:r>
      <w:r/>
    </w:p>
    <w:p>
      <w:pPr>
        <w:pStyle w:val="92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投标人基本情况表</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92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p>
        </w:tc>
        <w:tc>
          <w:tcPr>
            <w:gridSpan w:val="3"/>
            <w:tcW w:w="6998" w:type="dxa"/>
            <w:vAlign w:val="center"/>
            <w:textDirection w:val="lrTb"/>
            <w:noWrap w:val="false"/>
          </w:tcPr>
          <w:p>
            <w:pPr>
              <w:pStyle w:val="92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92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92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2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92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92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92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2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92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92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92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2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92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92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92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2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92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92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投标人类别</w:t>
            </w:r>
            <w:r/>
          </w:p>
        </w:tc>
        <w:tc>
          <w:tcPr>
            <w:gridSpan w:val="3"/>
            <w:tcW w:w="6998" w:type="dxa"/>
            <w:vAlign w:val="center"/>
            <w:textDirection w:val="lrTb"/>
            <w:noWrap w:val="false"/>
          </w:tcPr>
          <w:p>
            <w:pPr>
              <w:pStyle w:val="92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92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92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2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92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92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92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2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92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46"/>
        </w:trPr>
        <w:tc>
          <w:tcPr>
            <w:tcW w:w="1526" w:type="dxa"/>
            <w:vAlign w:val="center"/>
            <w:textDirection w:val="lrTb"/>
            <w:noWrap w:val="false"/>
          </w:tcPr>
          <w:p>
            <w:pPr>
              <w:pStyle w:val="92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textDirection w:val="lrTb"/>
            <w:noWrap w:val="false"/>
          </w:tcPr>
          <w:p>
            <w:pPr>
              <w:pStyle w:val="925"/>
              <w:ind w:left="0" w:right="0" w:firstLine="1432"/>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34"/>
        </w:trPr>
        <w:tc>
          <w:tcPr>
            <w:tcW w:w="1526" w:type="dxa"/>
            <w:vAlign w:val="center"/>
            <w:textDirection w:val="lrTb"/>
            <w:noWrap w:val="false"/>
          </w:tcPr>
          <w:p>
            <w:pPr>
              <w:pStyle w:val="925"/>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925"/>
              <w:ind w:left="0" w:right="0"/>
              <w:jc w:val="both"/>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b/>
          <w:color w:val="auto"/>
          <w:sz w:val="24"/>
          <w:szCs w:val="24"/>
          <w:highlight w:val="none"/>
        </w:rPr>
        <w:t xml:space="preserve">三、特定资格要求的证明文件</w:t>
      </w:r>
      <w:r/>
    </w:p>
    <w:p>
      <w:pPr>
        <w:ind w:left="0" w:right="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    如果本项目申请人的特定资格要求中要求提供的，必须提供。</w:t>
      </w:r>
      <w:r/>
    </w:p>
    <w:p>
      <w:pPr>
        <w:ind w:left="0" w:right="0" w:firstLine="42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分包意向承诺书格式自拟。</w:t>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jc w:val="center"/>
        <w:spacing w:beforeAutospacing="0" w:afterAutospacing="0" w:line="44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ind w:left="0" w:right="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四、法人授权书</w:t>
      </w:r>
      <w:r/>
    </w:p>
    <w:p>
      <w:pPr>
        <w:pStyle w:val="945"/>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本授权书声明：____________（投标人名称）授权________________（被授权人的姓名）为我方就JSZC-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号项目采购活动的合法代理人，以本单位名义全权处理一切与该项目采购有关的事务。</w:t>
      </w:r>
      <w:r/>
    </w:p>
    <w:p>
      <w:pPr>
        <w:pStyle w:val="945"/>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945"/>
        <w:ind w:left="0" w:right="0" w:firstLine="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pStyle w:val="945"/>
        <w:ind w:left="0" w:right="0" w:firstLine="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945"/>
        <w:ind w:left="0" w:right="0" w:firstLine="120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945"/>
        <w:ind w:left="0" w:right="0" w:firstLine="48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945"/>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Start w:id="137" w:name="_Hlt26671380"/>
      <w:r/>
      <w:bookmarkEnd w:id="137"/>
      <w:r/>
      <w:bookmarkStart w:id="138" w:name="_格式3__银行出具的资信证明"/>
      <w:r/>
      <w:bookmarkEnd w:id="138"/>
      <w:r/>
      <w:bookmarkStart w:id="139" w:name="_Hlt26955070"/>
      <w:r/>
      <w:bookmarkEnd w:id="139"/>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i/>
          <w:color w:val="auto"/>
          <w:sz w:val="24"/>
          <w:szCs w:val="24"/>
          <w:highlight w:val="none"/>
          <w:u w:val="single"/>
        </w:rPr>
        <w:t xml:space="preserve">五、开标一览表</w:t>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投标人全称（加盖CA电子签章）：</w:t>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招标编号：                                 </w:t>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投标总报价</w:t>
            </w:r>
            <w:r/>
          </w:p>
        </w:tc>
      </w:tr>
      <w:tr>
        <w:trPr>
          <w:cantSplit/>
          <w:jc w:val="center"/>
          <w:trHeight w:val="612"/>
        </w:trPr>
        <w:tc>
          <w:tcPr>
            <w:tcW w:w="8206" w:type="dxa"/>
            <w:vAlign w:val="center"/>
            <w:textDirection w:val="lrTb"/>
            <w:noWrap w:val="false"/>
          </w:tcPr>
          <w:p>
            <w:pPr>
              <w:pStyle w:val="946"/>
              <w:ind w:left="0" w:right="0" w:firstLine="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                             （人民币：元）</w:t>
            </w:r>
            <w:r/>
          </w:p>
        </w:tc>
      </w:tr>
    </w:tbl>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center"/>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46"/>
        <w:ind w:left="0" w:right="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center"/>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right="0"/>
        <w:jc w:val="both"/>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numPr>
          <w:ilvl w:val="0"/>
          <w:numId w:val="19"/>
        </w:numPr>
        <w:ind w:left="0" w:right="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投标报价明细表</w:t>
      </w:r>
      <w:r/>
    </w:p>
    <w:p>
      <w:pPr>
        <w:numPr>
          <w:ilvl w:val="0"/>
          <w:numId w:val="0"/>
        </w:numPr>
        <w:ind w:left="0" w:right="0"/>
        <w:jc w:val="center"/>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分项报价表</w:t>
      </w:r>
      <w:r/>
    </w:p>
    <w:p>
      <w:pPr>
        <w:numPr>
          <w:ilvl w:val="0"/>
          <w:numId w:val="0"/>
        </w:numPr>
        <w:ind w:left="0" w:right="0"/>
        <w:jc w:val="center"/>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（货物类）</w:t>
      </w:r>
      <w:r/>
    </w:p>
    <w:p>
      <w:pPr>
        <w:numPr>
          <w:ilvl w:val="0"/>
          <w:numId w:val="0"/>
        </w:numPr>
        <w:ind w:left="0" w:right="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bl>
      <w:tblPr>
        <w:tblStyle w:val="727"/>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294"/>
        </w:trPr>
        <w:tc>
          <w:tcPr>
            <w:tcW w:w="556"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序号</w:t>
            </w:r>
            <w:r/>
          </w:p>
        </w:tc>
        <w:tc>
          <w:tcPr>
            <w:tcW w:w="1036"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966"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1414"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w:t>
            </w:r>
            <w:r/>
          </w:p>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型号</w:t>
            </w:r>
            <w:r/>
          </w:p>
        </w:tc>
        <w:tc>
          <w:tcPr>
            <w:tcW w:w="784"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980"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727"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372"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分项单价</w:t>
            </w:r>
            <w:r/>
          </w:p>
        </w:tc>
        <w:tc>
          <w:tcPr>
            <w:tcW w:w="1246"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分项总价</w:t>
            </w:r>
            <w:r/>
          </w:p>
        </w:tc>
      </w:tr>
      <w:tr>
        <w:trPr>
          <w:cantSplit/>
          <w:trHeight w:val="696"/>
        </w:trPr>
        <w:tc>
          <w:tcPr>
            <w:tcW w:w="556"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p>
        </w:tc>
        <w:tc>
          <w:tcPr>
            <w:tcW w:w="103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724"/>
        </w:trPr>
        <w:tc>
          <w:tcPr>
            <w:tcW w:w="556"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p>
        </w:tc>
        <w:tc>
          <w:tcPr>
            <w:tcW w:w="103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56"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p>
        </w:tc>
        <w:tc>
          <w:tcPr>
            <w:tcW w:w="103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80"/>
        </w:trPr>
        <w:tc>
          <w:tcPr>
            <w:tcW w:w="556"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03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96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30"/>
        </w:trPr>
        <w:tc>
          <w:tcPr>
            <w:gridSpan w:val="8"/>
            <w:tcW w:w="7835" w:type="dxa"/>
            <w:vAlign w:val="center"/>
            <w:textDirection w:val="lrTb"/>
            <w:noWrap w:val="false"/>
          </w:tcPr>
          <w:p>
            <w:pPr>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投标总报价（人民币：元）</w:t>
            </w:r>
            <w:r/>
          </w:p>
        </w:tc>
        <w:tc>
          <w:tcPr>
            <w:tcW w:w="1246" w:type="dxa"/>
            <w:textDirection w:val="lrTb"/>
            <w:noWrap w:val="false"/>
          </w:tcPr>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47"/>
        <w:ind w:left="0" w:right="0"/>
        <w:jc w:val="left"/>
        <w:keepLines/>
        <w:keepNext w:val="0"/>
        <w:pageBreakBefore w:val="0"/>
        <w:spacing w:before="0" w:beforeAutospacing="0" w:after="0" w:afterAutospacing="0" w:line="440" w:lineRule="exact"/>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备注：1.投标报价采用总承包方式，“投标总报价”应包括所投货物(包含与货物相关的服务)费用、安装调试费、测试验收费、培训费、运行维护费用、税金、运输保险费、办理全套免税手续费用(如果有)及其他有关的为完成本项目发生的所有费用，招标文件中另有规定的除外。</w:t>
      </w:r>
      <w:r/>
    </w:p>
    <w:p>
      <w:pPr>
        <w:pStyle w:val="947"/>
        <w:ind w:left="0" w:right="0"/>
        <w:jc w:val="left"/>
        <w:keepLines/>
        <w:keepNext w:val="0"/>
        <w:pageBreakBefore w:val="0"/>
        <w:spacing w:before="0" w:beforeAutospacing="0" w:after="0" w:afterAutospacing="0" w:line="440" w:lineRule="exact"/>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2.“投标分项报价表”中“投标总报价”数额应当与“开标一览表”中“投标总报价”数额一致。</w:t>
      </w:r>
      <w:r/>
    </w:p>
    <w:p>
      <w:pPr>
        <w:pStyle w:val="947"/>
        <w:ind w:left="0" w:right="0"/>
        <w:jc w:val="left"/>
        <w:keepLines/>
        <w:keepNext w:val="0"/>
        <w:pageBreakBefore w:val="0"/>
        <w:spacing w:before="0" w:beforeAutospacing="0" w:after="0" w:afterAutospacing="0" w:line="440" w:lineRule="exact"/>
        <w:widowControl w:val="off"/>
        <w:rPr>
          <w:rFonts w:hint="eastAsia" w:ascii="宋体" w:hAnsi="宋体" w:eastAsia="宋体" w:cs="宋体"/>
          <w:b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3.投标人需认真填写本报价表，尤其注意品牌型号的准确填写。投标人须提供所投标的产品品牌、型号、产地，除辅材、辅助材料(含以施工为主的条目)和技术参数标明为定制的产品之外的其它应该标明品牌和型号的产品，在投标文件中必须标明产品的品牌、型号，否则作无效投标处理。</w:t>
      </w:r>
      <w:r>
        <w:rPr>
          <w:rFonts w:hint="eastAsia" w:ascii="宋体" w:hAnsi="宋体" w:eastAsia="宋体" w:cs="宋体"/>
          <w:b w:val="0"/>
          <w:bCs w:val="0"/>
          <w:strike/>
          <w:color w:val="auto"/>
          <w:sz w:val="24"/>
          <w:szCs w:val="24"/>
          <w:highlight w:val="none"/>
        </w:rPr>
        <w:br w:type="page" w:clear="all"/>
      </w:r>
      <w:r>
        <w:rPr>
          <w:rFonts w:hint="eastAsia" w:ascii="宋体" w:hAnsi="宋体" w:eastAsia="宋体" w:cs="宋体"/>
          <w:b/>
          <w:bCs/>
          <w:color w:val="auto"/>
          <w:sz w:val="24"/>
          <w:szCs w:val="24"/>
          <w:highlight w:val="none"/>
        </w:rPr>
        <w:t xml:space="preserve">七、中小企业或残疾人福利性单位声明函</w:t>
      </w:r>
      <w:r/>
    </w:p>
    <w:p>
      <w:pPr>
        <w:pStyle w:val="948"/>
        <w:ind w:left="0" w:right="0"/>
        <w:jc w:val="center"/>
        <w:spacing w:beforeAutospacing="0" w:afterAutospacing="0" w:line="440" w:lineRule="exact"/>
        <w:rPr>
          <w:rStyle w:val="903"/>
          <w:rFonts w:hint="eastAsia" w:ascii="宋体" w:hAnsi="宋体" w:eastAsia="宋体" w:cs="宋体"/>
          <w:b/>
          <w:color w:val="auto"/>
          <w:sz w:val="24"/>
          <w:szCs w:val="24"/>
          <w:highlight w:val="none"/>
        </w:rPr>
      </w:pPr>
      <w:r>
        <w:rPr>
          <w:rStyle w:val="903"/>
          <w:rFonts w:hint="eastAsia" w:ascii="宋体" w:hAnsi="宋体" w:eastAsia="宋体" w:cs="宋体"/>
          <w:b/>
          <w:color w:val="auto"/>
          <w:sz w:val="24"/>
          <w:szCs w:val="24"/>
          <w:highlight w:val="none"/>
        </w:rPr>
        <w:t xml:space="preserve">中小微企业声明函</w:t>
      </w:r>
      <w:r/>
    </w:p>
    <w:p>
      <w:pPr>
        <w:pStyle w:val="948"/>
        <w:ind w:left="0" w:right="0"/>
        <w:jc w:val="center"/>
        <w:spacing w:beforeAutospacing="0" w:afterAutospacing="0" w:line="440" w:lineRule="exact"/>
        <w:rPr>
          <w:rStyle w:val="903"/>
          <w:rFonts w:hint="eastAsia" w:ascii="宋体" w:hAnsi="宋体" w:eastAsia="宋体" w:cs="宋体"/>
          <w:b/>
          <w:color w:val="auto"/>
          <w:sz w:val="24"/>
          <w:szCs w:val="24"/>
          <w:highlight w:val="none"/>
        </w:rPr>
      </w:pPr>
      <w:r>
        <w:rPr>
          <w:rStyle w:val="903"/>
          <w:rFonts w:hint="eastAsia" w:ascii="宋体" w:hAnsi="宋体" w:eastAsia="宋体" w:cs="宋体"/>
          <w:b/>
          <w:color w:val="auto"/>
          <w:sz w:val="24"/>
          <w:szCs w:val="24"/>
          <w:highlight w:val="none"/>
        </w:rPr>
        <w:t xml:space="preserve">（货物类项目）</w:t>
      </w:r>
      <w:r/>
    </w:p>
    <w:p>
      <w:pPr>
        <w:ind w:left="0" w:right="0" w:firstLine="48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left="0" w:right="0" w:firstLine="48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ind w:left="0" w:right="0" w:firstLine="48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ind w:left="0" w:right="0" w:firstLine="48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 □小型企业 □微型企业）；</w:t>
      </w:r>
      <w:r/>
    </w:p>
    <w:p>
      <w:pPr>
        <w:ind w:left="0" w:right="0" w:firstLine="48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left="0" w:right="0" w:firstLine="48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left="0" w:right="0" w:firstLine="480"/>
        <w:jc w:val="right"/>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left="0" w:right="0" w:firstLine="480"/>
        <w:jc w:val="right"/>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企业名称（加盖CA电子公章）：</w:t>
      </w:r>
      <w:r/>
    </w:p>
    <w:p>
      <w:pPr>
        <w:ind w:left="0" w:right="0" w:firstLine="48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w:t>
      </w:r>
      <w:r/>
    </w:p>
    <w:p>
      <w:pPr>
        <w:ind w:left="0" w:right="0" w:firstLine="48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备注：</w:t>
      </w:r>
      <w:r/>
    </w:p>
    <w:p>
      <w:pPr>
        <w:ind w:left="0" w:right="0" w:firstLine="480"/>
        <w:keepLines w:val="0"/>
        <w:keepNext w:val="0"/>
        <w:pageBreakBefore w:val="0"/>
        <w:spacing w:line="4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1.专门面向中小微型企业采购的项目，供应商如不提供此声明函，则不能通过资格审查；非专门面向中小微型企业采购的项目，供应商如不提供此声明函，价格将不做相应扣除。</w:t>
      </w:r>
      <w:r/>
    </w:p>
    <w:p>
      <w:pPr>
        <w:ind w:left="0" w:right="0" w:firstLine="480"/>
        <w:jc w:val="left"/>
        <w:keepLines w:val="0"/>
        <w:keepNext w:val="0"/>
        <w:pageBreakBefore w:val="0"/>
        <w:spacing w:line="240"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2.供应商自行勾选企业类型。</w:t>
      </w:r>
      <w:r/>
    </w:p>
    <w:p>
      <w:pPr>
        <w:ind w:left="0" w:right="0" w:firstLine="0"/>
        <w:jc w:val="left"/>
        <w:keepLines w:val="0"/>
        <w:keepNext w:val="0"/>
        <w:pageBreakBefore w:val="0"/>
        <w:spacing w:line="240"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r>
      <w:r/>
    </w:p>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482"/>
        <w:jc w:val="left"/>
        <w:keepLines w:val="0"/>
        <w:keepNext w:val="0"/>
        <w:pageBreakBefore w:val="0"/>
        <w:spacing w:beforeAutospacing="0" w:afterAutospacing="0" w:line="420" w:lineRule="exact"/>
        <w:widowControl w:val="off"/>
        <w:rPr>
          <w:rFonts w:hint="eastAsia" w:ascii="宋体" w:hAnsi="宋体" w:eastAsia="宋体" w:cs="宋体"/>
          <w:iCs/>
          <w:color w:val="auto"/>
          <w:sz w:val="24"/>
          <w:szCs w:val="24"/>
          <w:highlight w:val="none"/>
        </w:rPr>
      </w:pPr>
      <w:r>
        <w:rPr>
          <w:rFonts w:hint="eastAsia" w:ascii="宋体" w:hAnsi="宋体" w:eastAsia="宋体" w:cs="宋体"/>
          <w:b/>
          <w:color w:val="auto"/>
          <w:sz w:val="24"/>
          <w:szCs w:val="24"/>
          <w:highlight w:val="none"/>
        </w:rPr>
        <w:br w:type="page" w:clear="all"/>
      </w:r>
      <w:r/>
    </w:p>
    <w:p>
      <w:pPr>
        <w:pStyle w:val="949"/>
        <w:ind w:left="0" w:right="0"/>
        <w:jc w:val="center"/>
        <w:spacing w:beforeAutospacing="0" w:afterAutospacing="0" w:line="440" w:lineRule="exact"/>
        <w:rPr>
          <w:rStyle w:val="903"/>
          <w:rFonts w:hint="eastAsia" w:ascii="宋体" w:hAnsi="宋体" w:eastAsia="宋体" w:cs="宋体"/>
          <w:b/>
          <w:bCs/>
          <w:color w:val="auto"/>
          <w:sz w:val="24"/>
          <w:szCs w:val="24"/>
          <w:highlight w:val="none"/>
        </w:rPr>
      </w:pPr>
      <w:r>
        <w:rPr>
          <w:rStyle w:val="903"/>
          <w:rFonts w:hint="eastAsia" w:ascii="宋体" w:hAnsi="宋体" w:eastAsia="宋体" w:cs="宋体"/>
          <w:b/>
          <w:bCs/>
          <w:color w:val="auto"/>
          <w:sz w:val="24"/>
          <w:szCs w:val="24"/>
          <w:highlight w:val="none"/>
        </w:rPr>
        <w:t xml:space="preserve">残疾人福利性单位声明函</w:t>
      </w:r>
      <w:r/>
    </w:p>
    <w:p>
      <w:pPr>
        <w:pStyle w:val="950"/>
        <w:ind w:left="0" w:right="0"/>
        <w:spacing w:beforeAutospacing="0" w:afterAutospacing="0" w:line="440" w:lineRule="exact"/>
        <w:rPr>
          <w:rStyle w:val="903"/>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（备注：非残疾人福利性单位不需提供此函。）</w:t>
      </w:r>
      <w:r/>
    </w:p>
    <w:p>
      <w:pPr>
        <w:ind w:left="0" w:right="0" w:firstLine="624"/>
        <w:spacing w:beforeAutospacing="0" w:afterAutospacing="0" w:line="44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pStyle w:val="951"/>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360"/>
        <w:jc w:val="righ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left="0" w:right="0"/>
        <w:jc w:val="right"/>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年___月___日</w:t>
      </w:r>
      <w:r/>
    </w:p>
    <w:p>
      <w:pPr>
        <w:jc w:val="left"/>
        <w:spacing w:line="440" w:lineRule="exact"/>
        <w:rPr>
          <w:rFonts w:ascii="宋体" w:hAnsi="宋体" w:cs="宋体"/>
          <w:b/>
          <w:color w:val="auto"/>
          <w:sz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八、</w:t>
      </w:r>
      <w:r>
        <w:rPr>
          <w:rFonts w:hint="eastAsia" w:ascii="宋体" w:hAnsi="宋体" w:cs="宋体"/>
          <w:b/>
          <w:color w:val="auto"/>
          <w:sz w:val="24"/>
          <w:highlight w:val="none"/>
        </w:rPr>
        <w:t xml:space="preserve">响应及偏离表</w:t>
      </w:r>
      <w:r/>
    </w:p>
    <w:p>
      <w:pPr>
        <w:ind w:firstLine="1446"/>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实质性要求响应及偏离表（分包号：）</w:t>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6"/>
        <w:gridCol w:w="3411"/>
        <w:gridCol w:w="3136"/>
        <w:gridCol w:w="144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center"/>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技术要求和商务要求中的实质性要求</w:t>
            </w:r>
            <w:r>
              <w:rPr>
                <w:rFonts w:ascii="宋体" w:hAnsi="宋体" w:cs="宋体"/>
                <w:i/>
                <w:color w:val="auto"/>
                <w:sz w:val="24"/>
                <w:highlight w:val="none"/>
                <w:u w:val="single"/>
              </w:rPr>
              <w:t xml:space="preserve">（</w:t>
            </w:r>
            <w:r>
              <w:rPr>
                <w:rFonts w:ascii="宋体" w:hAnsi="宋体" w:cs="宋体"/>
                <w:color w:val="auto"/>
                <w:sz w:val="24"/>
                <w:highlight w:val="none"/>
                <w:u w:val="single"/>
              </w:rPr>
              <w:t xml:space="preserve">打“★”内容）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center"/>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textDirection w:val="lrTb"/>
            <w:noWrap/>
          </w:tcPr>
          <w:p>
            <w:pPr>
              <w:jc w:val="center"/>
              <w:spacing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bl>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附件 证明材料1，证明材料2，……</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1.投标人必须对技术要求和商务要求中的实质性要求</w:t>
      </w:r>
      <w:r>
        <w:rPr>
          <w:rFonts w:ascii="宋体" w:hAnsi="宋体" w:cs="宋体"/>
          <w:i/>
          <w:color w:val="auto"/>
          <w:sz w:val="24"/>
          <w:highlight w:val="none"/>
          <w:u w:val="single"/>
        </w:rPr>
        <w:t xml:space="preserve">（</w:t>
      </w:r>
      <w:r>
        <w:rPr>
          <w:rFonts w:ascii="宋体" w:hAnsi="宋体" w:cs="宋体"/>
          <w:color w:val="auto"/>
          <w:sz w:val="24"/>
          <w:highlight w:val="none"/>
          <w:u w:val="single"/>
        </w:rPr>
        <w:t xml:space="preserve">打“★”内容）</w:t>
      </w:r>
      <w:r>
        <w:rPr>
          <w:rFonts w:ascii="宋体" w:hAnsi="宋体" w:cs="宋体"/>
          <w:color w:val="auto"/>
          <w:sz w:val="24"/>
          <w:highlight w:val="none"/>
        </w:rPr>
        <w:t xml:space="preserve">逐条做出明确响应。</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2.如果招标文件要求提供证明材料，投标人必须将证明材料列于该表之下。</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3.投标人未对实质性要求逐条作出明确响应的，或未按招标文件要求提供证明材料的，该</w:t>
      </w:r>
      <w:r>
        <w:rPr>
          <w:rFonts w:hint="eastAsia" w:ascii="宋体" w:hAnsi="宋体" w:cs="宋体"/>
          <w:color w:val="auto"/>
          <w:sz w:val="24"/>
          <w:highlight w:val="none"/>
        </w:rPr>
        <w:t xml:space="preserve">采购包</w:t>
      </w:r>
      <w:r>
        <w:rPr>
          <w:rFonts w:ascii="宋体" w:hAnsi="宋体" w:cs="宋体"/>
          <w:color w:val="auto"/>
          <w:sz w:val="24"/>
          <w:highlight w:val="none"/>
        </w:rPr>
        <w:t xml:space="preserve">作无效标处理。</w:t>
      </w:r>
      <w:r/>
    </w:p>
    <w:p>
      <w:pPr>
        <w:jc w:val="center"/>
        <w:spacing w:line="56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56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color w:val="auto"/>
          <w:sz w:val="24"/>
          <w:highlight w:val="none"/>
        </w:rPr>
      </w:pPr>
      <w:r>
        <w:rPr>
          <w:rFonts w:hint="eastAsia" w:ascii="宋体" w:hAnsi="宋体" w:cs="宋体"/>
          <w:b/>
          <w:color w:val="auto"/>
          <w:sz w:val="24"/>
          <w:highlight w:val="none"/>
        </w:rPr>
        <w:t xml:space="preserve">技术要求响应及偏离表（分包号：）</w:t>
      </w:r>
      <w:r/>
    </w:p>
    <w:tbl>
      <w:tblPr>
        <w:tblStyle w:val="72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3063"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技术要求</w:t>
            </w:r>
            <w:r/>
          </w:p>
        </w:tc>
        <w:tc>
          <w:tcPr>
            <w:tcW w:w="3191"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投标响应情况</w:t>
            </w:r>
            <w:r/>
          </w:p>
        </w:tc>
        <w:tc>
          <w:tcPr>
            <w:tcW w:w="2128"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超出、符合或偏离</w:t>
            </w:r>
            <w:r/>
          </w:p>
        </w:tc>
      </w:tr>
      <w:tr>
        <w:trPr>
          <w:cantSplit/>
          <w:trHeight w:val="640"/>
        </w:trPr>
        <w:tc>
          <w:tcPr>
            <w:tcW w:w="545" w:type="dxa"/>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1</w:t>
            </w:r>
            <w:r/>
          </w:p>
        </w:tc>
        <w:tc>
          <w:tcPr>
            <w:tcW w:w="3063"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3191"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2128"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W w:w="545"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3063" w:type="dxa"/>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w:t>
            </w:r>
            <w:r/>
          </w:p>
        </w:tc>
        <w:tc>
          <w:tcPr>
            <w:tcW w:w="3191"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2128"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bl>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附件  证明材料1，证明材料2，……</w:t>
      </w:r>
      <w:r/>
    </w:p>
    <w:p>
      <w:pPr>
        <w:spacing w:line="400" w:lineRule="exact"/>
        <w:rPr>
          <w:rFonts w:ascii="宋体" w:hAnsi="宋体" w:cs="宋体"/>
          <w:color w:val="auto"/>
          <w:sz w:val="24"/>
          <w:highlight w:val="none"/>
        </w:rPr>
      </w:pPr>
      <w:r>
        <w:rPr>
          <w:rFonts w:ascii="宋体" w:hAnsi="宋体" w:cs="宋体"/>
          <w:color w:val="auto"/>
          <w:sz w:val="24"/>
          <w:highlight w:val="none"/>
        </w:rPr>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备注：</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1.投标人需对技术要求（</w:t>
      </w:r>
      <w:r>
        <w:rPr>
          <w:rFonts w:hint="eastAsia" w:ascii="宋体" w:hAnsi="宋体" w:cs="宋体"/>
          <w:iCs/>
          <w:color w:val="auto"/>
          <w:sz w:val="24"/>
          <w:highlight w:val="none"/>
          <w:u w:val="single"/>
        </w:rPr>
        <w:t xml:space="preserve">未打“★”内容</w:t>
      </w:r>
      <w:r>
        <w:rPr>
          <w:rFonts w:hint="eastAsia" w:ascii="宋体" w:hAnsi="宋体" w:cs="宋体"/>
          <w:color w:val="auto"/>
          <w:sz w:val="24"/>
          <w:highlight w:val="none"/>
        </w:rPr>
        <w:t xml:space="preserve">）逐条做出明确响应。</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2.如果招标文件要求提供证明材料，投标人需将证明材料列于该表之下。</w:t>
      </w:r>
      <w:r/>
    </w:p>
    <w:p>
      <w:pPr>
        <w:spacing w:line="400" w:lineRule="exact"/>
        <w:rPr>
          <w:rFonts w:ascii="宋体" w:hAnsi="宋体" w:cs="宋体"/>
          <w:color w:val="auto"/>
          <w:sz w:val="24"/>
          <w:highlight w:val="none"/>
        </w:rPr>
      </w:pPr>
      <w:r>
        <w:rPr>
          <w:rFonts w:ascii="宋体" w:hAnsi="宋体" w:cs="宋体"/>
          <w:color w:val="auto"/>
          <w:sz w:val="24"/>
          <w:highlight w:val="none"/>
        </w:rPr>
      </w:r>
      <w:r/>
    </w:p>
    <w:p>
      <w:pPr>
        <w:pStyle w:val="952"/>
        <w:rPr>
          <w:rFonts w:ascii="宋体" w:hAnsi="宋体" w:eastAsia="宋体" w:cs="宋体"/>
          <w:color w:val="auto"/>
          <w:highlight w:val="none"/>
        </w:rPr>
      </w:pPr>
      <w:r>
        <w:rPr>
          <w:rFonts w:ascii="宋体" w:hAnsi="宋体" w:eastAsia="宋体" w:cs="宋体"/>
          <w:color w:val="auto"/>
          <w:highlight w:val="none"/>
        </w:rPr>
      </w:r>
      <w:r/>
    </w:p>
    <w:p>
      <w:pPr>
        <w:jc w:val="left"/>
        <w:spacing w:line="360" w:lineRule="auto"/>
        <w:rPr>
          <w:rFonts w:ascii="宋体" w:hAnsi="宋体" w:cs="宋体"/>
          <w:b/>
          <w:color w:val="auto"/>
          <w:sz w:val="32"/>
          <w:highlight w:val="none"/>
        </w:rPr>
      </w:pPr>
      <w:r>
        <w:rPr>
          <w:rFonts w:ascii="宋体" w:hAnsi="宋体" w:cs="宋体"/>
          <w:b/>
          <w:color w:val="auto"/>
          <w:sz w:val="32"/>
          <w:highlight w:val="none"/>
        </w:rPr>
      </w:r>
      <w:r/>
    </w:p>
    <w:p>
      <w:pPr>
        <w:jc w:val="center"/>
        <w:rPr>
          <w:rFonts w:ascii="宋体" w:hAnsi="宋体" w:cs="宋体"/>
          <w:b/>
          <w:color w:val="auto"/>
          <w:sz w:val="24"/>
          <w:highlight w:val="none"/>
        </w:rPr>
      </w:pPr>
      <w:r>
        <w:rPr>
          <w:rFonts w:hint="eastAsia" w:ascii="宋体" w:hAnsi="宋体" w:cs="宋体"/>
          <w:b/>
          <w:color w:val="auto"/>
          <w:sz w:val="24"/>
          <w:highlight w:val="none"/>
        </w:rPr>
        <w:t xml:space="preserve">商务要求响应及偏离表（分包号：    ）</w:t>
      </w:r>
      <w:r/>
    </w:p>
    <w:tbl>
      <w:tblPr>
        <w:tblStyle w:val="727"/>
        <w:tblW w:w="84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508"/>
        <w:gridCol w:w="2324"/>
      </w:tblGrid>
      <w:tr>
        <w:trPr>
          <w:cantSplit/>
        </w:trPr>
        <w:tc>
          <w:tcPr>
            <w:tcW w:w="545"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3063"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商务要求</w:t>
            </w:r>
            <w:r/>
          </w:p>
        </w:tc>
        <w:tc>
          <w:tcPr>
            <w:tcW w:w="2508"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投标响应情况</w:t>
            </w:r>
            <w:r/>
          </w:p>
        </w:tc>
        <w:tc>
          <w:tcPr>
            <w:tcW w:w="2324" w:type="dxa"/>
            <w:vAlign w:val="center"/>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超出、符合或偏离</w:t>
            </w:r>
            <w:r/>
          </w:p>
        </w:tc>
      </w:tr>
      <w:tr>
        <w:trPr>
          <w:cantSplit/>
          <w:trHeight w:val="640"/>
        </w:trPr>
        <w:tc>
          <w:tcPr>
            <w:tcW w:w="545" w:type="dxa"/>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1</w:t>
            </w:r>
            <w:r/>
          </w:p>
        </w:tc>
        <w:tc>
          <w:tcPr>
            <w:tcW w:w="3063"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2508"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2324"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W w:w="545"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3063" w:type="dxa"/>
            <w:textDirection w:val="lrTb"/>
            <w:noWrap/>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w:t>
            </w:r>
            <w:r/>
          </w:p>
        </w:tc>
        <w:tc>
          <w:tcPr>
            <w:tcW w:w="2508"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W w:w="2324" w:type="dxa"/>
            <w:textDirection w:val="lrTb"/>
            <w:noWrap/>
          </w:tcPr>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r>
    </w:tbl>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附件  证明材料1，证明材料2，……</w:t>
      </w:r>
      <w:r/>
    </w:p>
    <w:p>
      <w:pPr>
        <w:spacing w:line="400" w:lineRule="exact"/>
        <w:rPr>
          <w:rFonts w:ascii="宋体" w:hAnsi="宋体" w:cs="宋体"/>
          <w:color w:val="auto"/>
          <w:sz w:val="24"/>
          <w:highlight w:val="none"/>
        </w:rPr>
      </w:pPr>
      <w:r>
        <w:rPr>
          <w:rFonts w:ascii="宋体" w:hAnsi="宋体" w:cs="宋体"/>
          <w:color w:val="auto"/>
          <w:sz w:val="24"/>
          <w:highlight w:val="none"/>
        </w:rPr>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备注：</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1.投标人需对商务要求（</w:t>
      </w:r>
      <w:r>
        <w:rPr>
          <w:rFonts w:hint="eastAsia" w:ascii="宋体" w:hAnsi="宋体" w:cs="宋体"/>
          <w:iCs/>
          <w:color w:val="auto"/>
          <w:sz w:val="24"/>
          <w:highlight w:val="none"/>
          <w:u w:val="single"/>
        </w:rPr>
        <w:t xml:space="preserve">未打“★”内容</w:t>
      </w:r>
      <w:r>
        <w:rPr>
          <w:rFonts w:hint="eastAsia" w:ascii="宋体" w:hAnsi="宋体" w:cs="宋体"/>
          <w:color w:val="auto"/>
          <w:sz w:val="24"/>
          <w:highlight w:val="none"/>
        </w:rPr>
        <w:t xml:space="preserve">）逐条做出明确响应。</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2.如果招标文件要求提供证明材料，投标人需将证明材料列于该表之下。</w:t>
      </w:r>
      <w:r/>
    </w:p>
    <w:p>
      <w:pPr>
        <w:pStyle w:val="937"/>
        <w:rPr>
          <w:rFonts w:ascii="宋体" w:hAnsi="宋体" w:eastAsia="宋体" w:cs="宋体"/>
          <w:color w:val="auto"/>
          <w:highlight w:val="none"/>
        </w:rPr>
      </w:pPr>
      <w:r>
        <w:rPr>
          <w:rFonts w:ascii="宋体" w:hAnsi="宋体" w:eastAsia="宋体" w:cs="宋体"/>
          <w:color w:val="auto"/>
          <w:highlight w:val="none"/>
        </w:rPr>
      </w:r>
      <w:r/>
    </w:p>
    <w:p>
      <w:pPr>
        <w:pStyle w:val="952"/>
        <w:ind w:left="0" w:right="0"/>
        <w:spacing w:beforeAutospacing="0" w:afterAutospacing="0" w:line="440" w:lineRule="exact"/>
        <w:rPr>
          <w:rFonts w:hint="eastAsia" w:ascii="宋体" w:hAnsi="宋体" w:eastAsia="宋体" w:cs="宋体"/>
          <w:color w:val="auto"/>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hAnsi="宋体" w:eastAsia="宋体" w:cs="宋体"/>
          <w:color w:val="auto"/>
          <w:sz w:val="24"/>
          <w:szCs w:val="24"/>
          <w:highlight w:val="none"/>
        </w:rPr>
      </w:r>
      <w:r/>
    </w:p>
    <w:p>
      <w:pPr>
        <w:pStyle w:val="952"/>
        <w:ind w:left="0" w:right="0"/>
        <w:spacing w:beforeAutospacing="0" w:afterAutospacing="0" w:line="44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九、项目组人员</w:t>
      </w:r>
      <w:r/>
    </w:p>
    <w:p>
      <w:pPr>
        <w:pStyle w:val="911"/>
        <w:ind w:left="0" w:right="0"/>
        <w:jc w:val="center"/>
        <w:spacing w:before="0" w:beforeAutospacing="0" w:after="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项目组成员</w:t>
      </w:r>
      <w:r/>
    </w:p>
    <w:tbl>
      <w:tblPr>
        <w:tblStyle w:val="727"/>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953"/>
              <w:ind w:left="0" w:right="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843" w:type="dxa"/>
            <w:vAlign w:val="center"/>
            <w:textDirection w:val="lrTb"/>
            <w:noWrap w:val="false"/>
          </w:tcPr>
          <w:p>
            <w:pPr>
              <w:pStyle w:val="953"/>
              <w:ind w:left="0" w:right="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tc>
        <w:tc>
          <w:tcPr>
            <w:tcW w:w="992" w:type="dxa"/>
            <w:vAlign w:val="center"/>
            <w:textDirection w:val="lrTb"/>
            <w:noWrap w:val="false"/>
          </w:tcPr>
          <w:p>
            <w:pPr>
              <w:pStyle w:val="953"/>
              <w:ind w:left="0" w:right="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1984" w:type="dxa"/>
            <w:vAlign w:val="center"/>
            <w:textDirection w:val="lrTb"/>
            <w:noWrap w:val="false"/>
          </w:tcPr>
          <w:p>
            <w:pPr>
              <w:pStyle w:val="953"/>
              <w:ind w:left="0" w:right="0" w:firstLine="2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p>
        </w:tc>
        <w:tc>
          <w:tcPr>
            <w:tcW w:w="1702" w:type="dxa"/>
            <w:vAlign w:val="center"/>
            <w:textDirection w:val="lrTb"/>
            <w:noWrap w:val="false"/>
          </w:tcPr>
          <w:p>
            <w:pPr>
              <w:pStyle w:val="953"/>
              <w:ind w:left="0" w:right="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相关证书</w:t>
            </w:r>
            <w:r/>
          </w:p>
        </w:tc>
        <w:tc>
          <w:tcPr>
            <w:tcW w:w="962" w:type="dxa"/>
            <w:vAlign w:val="center"/>
            <w:textDirection w:val="lrTb"/>
            <w:noWrap w:val="false"/>
          </w:tcPr>
          <w:p>
            <w:pPr>
              <w:pStyle w:val="953"/>
              <w:ind w:left="0" w:right="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729"/>
        </w:trPr>
        <w:tc>
          <w:tcPr>
            <w:tcW w:w="959"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91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项目经理</w:t>
            </w:r>
            <w:r/>
          </w:p>
        </w:tc>
        <w:tc>
          <w:tcPr>
            <w:tcW w:w="992"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911"/>
              <w:ind w:left="0" w:right="0"/>
              <w:jc w:val="center"/>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tcW w:w="992"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911"/>
              <w:ind w:left="0" w:right="0" w:firstLine="28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tcW w:w="992"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911"/>
              <w:ind w:left="0" w:right="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911"/>
              <w:ind w:left="0" w:right="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9"/>
        </w:trPr>
        <w:tc>
          <w:tcPr>
            <w:tcW w:w="959"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2"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2" w:type="dxa"/>
            <w:vAlign w:val="center"/>
            <w:textDirection w:val="lrTb"/>
            <w:noWrap w:val="false"/>
          </w:tcPr>
          <w:p>
            <w:pPr>
              <w:pStyle w:val="953"/>
              <w:ind w:left="0" w:right="0" w:firstLine="560"/>
              <w:jc w:val="center"/>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11"/>
        <w:ind w:left="0" w:right="0" w:firstLine="398"/>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bidi="ar"/>
        </w:rPr>
        <w:t xml:space="preserve">注：如供应商中标，项目组成员必须按本表承诺人员操作，不得随意更换。按招标文件要求附相关人员证书。</w:t>
      </w:r>
      <w:r/>
    </w:p>
    <w:p>
      <w:pPr>
        <w:pStyle w:val="911"/>
        <w:ind w:left="0" w:right="0" w:firstLine="28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4"/>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Start w:id="140" w:name="_Toc11176"/>
      <w:r>
        <w:rPr>
          <w:rFonts w:hint="eastAsia" w:ascii="宋体" w:hAnsi="宋体" w:eastAsia="宋体" w:cs="宋体"/>
          <w:b/>
          <w:color w:val="auto"/>
          <w:sz w:val="24"/>
          <w:szCs w:val="24"/>
          <w:highlight w:val="none"/>
        </w:rPr>
        <w:t xml:space="preserve">十、</w:t>
      </w:r>
      <w:bookmarkEnd w:id="140"/>
      <w:r>
        <w:rPr>
          <w:rFonts w:hint="eastAsia" w:ascii="宋体" w:hAnsi="宋体" w:eastAsia="宋体" w:cs="宋体"/>
          <w:b/>
          <w:color w:val="auto"/>
          <w:sz w:val="24"/>
          <w:szCs w:val="24"/>
          <w:highlight w:val="none"/>
        </w:rPr>
        <w:t xml:space="preserve">企业业绩</w:t>
      </w:r>
      <w:r/>
    </w:p>
    <w:p>
      <w:pPr>
        <w:pStyle w:val="955"/>
        <w:ind w:left="0" w:right="0"/>
        <w:jc w:val="center"/>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投标人承担类似项目业绩一览表</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5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827" w:type="dxa"/>
            <w:vAlign w:val="center"/>
            <w:textDirection w:val="lrTb"/>
            <w:noWrap w:val="false"/>
          </w:tcPr>
          <w:p>
            <w:pPr>
              <w:pStyle w:val="95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2433" w:type="dxa"/>
            <w:vAlign w:val="center"/>
            <w:textDirection w:val="lrTb"/>
            <w:noWrap w:val="false"/>
          </w:tcPr>
          <w:p>
            <w:pPr>
              <w:pStyle w:val="95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w:t>
            </w:r>
            <w:r/>
          </w:p>
        </w:tc>
        <w:tc>
          <w:tcPr>
            <w:tcW w:w="1395" w:type="dxa"/>
            <w:vAlign w:val="center"/>
            <w:textDirection w:val="lrTb"/>
            <w:noWrap w:val="false"/>
          </w:tcPr>
          <w:p>
            <w:pPr>
              <w:pStyle w:val="95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w:t>
            </w:r>
            <w:r/>
          </w:p>
        </w:tc>
      </w:tr>
      <w:tr>
        <w:trPr>
          <w:jc w:val="center"/>
          <w:trHeight w:val="1510"/>
        </w:trPr>
        <w:tc>
          <w:tcPr>
            <w:tcW w:w="1229" w:type="dxa"/>
            <w:textDirection w:val="lrTb"/>
            <w:noWrap w:val="false"/>
          </w:tcPr>
          <w:p>
            <w:pPr>
              <w:pStyle w:val="95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27" w:type="dxa"/>
            <w:vAlign w:val="center"/>
            <w:textDirection w:val="lrTb"/>
            <w:noWrap w:val="false"/>
          </w:tcPr>
          <w:p>
            <w:pPr>
              <w:pStyle w:val="95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3" w:type="dxa"/>
            <w:vAlign w:val="center"/>
            <w:textDirection w:val="lrTb"/>
            <w:noWrap w:val="false"/>
          </w:tcPr>
          <w:p>
            <w:pPr>
              <w:pStyle w:val="95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val="false"/>
          </w:tcPr>
          <w:p>
            <w:pPr>
              <w:pStyle w:val="95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510"/>
        </w:trPr>
        <w:tc>
          <w:tcPr>
            <w:tcW w:w="1229" w:type="dxa"/>
            <w:textDirection w:val="lrTb"/>
            <w:noWrap w:val="false"/>
          </w:tcPr>
          <w:p>
            <w:pPr>
              <w:pStyle w:val="95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27" w:type="dxa"/>
            <w:vAlign w:val="center"/>
            <w:textDirection w:val="lrTb"/>
            <w:noWrap w:val="false"/>
          </w:tcPr>
          <w:p>
            <w:pPr>
              <w:pStyle w:val="95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3" w:type="dxa"/>
            <w:vAlign w:val="center"/>
            <w:textDirection w:val="lrTb"/>
            <w:noWrap w:val="false"/>
          </w:tcPr>
          <w:p>
            <w:pPr>
              <w:pStyle w:val="95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val="false"/>
          </w:tcPr>
          <w:p>
            <w:pPr>
              <w:pStyle w:val="95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510"/>
        </w:trPr>
        <w:tc>
          <w:tcPr>
            <w:tcW w:w="1229" w:type="dxa"/>
            <w:textDirection w:val="lrTb"/>
            <w:noWrap w:val="false"/>
          </w:tcPr>
          <w:p>
            <w:pPr>
              <w:pStyle w:val="95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27" w:type="dxa"/>
            <w:vAlign w:val="center"/>
            <w:textDirection w:val="lrTb"/>
            <w:noWrap w:val="false"/>
          </w:tcPr>
          <w:p>
            <w:pPr>
              <w:pStyle w:val="95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3" w:type="dxa"/>
            <w:vAlign w:val="center"/>
            <w:textDirection w:val="lrTb"/>
            <w:noWrap w:val="false"/>
          </w:tcPr>
          <w:p>
            <w:pPr>
              <w:pStyle w:val="95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val="false"/>
          </w:tcPr>
          <w:p>
            <w:pPr>
              <w:pStyle w:val="95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525"/>
        </w:trPr>
        <w:tc>
          <w:tcPr>
            <w:tcW w:w="1229" w:type="dxa"/>
            <w:textDirection w:val="lrTb"/>
            <w:noWrap w:val="false"/>
          </w:tcPr>
          <w:p>
            <w:pPr>
              <w:pStyle w:val="95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27" w:type="dxa"/>
            <w:vAlign w:val="center"/>
            <w:textDirection w:val="lrTb"/>
            <w:noWrap w:val="false"/>
          </w:tcPr>
          <w:p>
            <w:pPr>
              <w:pStyle w:val="95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3" w:type="dxa"/>
            <w:vAlign w:val="center"/>
            <w:textDirection w:val="lrTb"/>
            <w:noWrap w:val="false"/>
          </w:tcPr>
          <w:p>
            <w:pPr>
              <w:pStyle w:val="95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5" w:type="dxa"/>
            <w:vAlign w:val="center"/>
            <w:textDirection w:val="lrTb"/>
            <w:noWrap w:val="false"/>
          </w:tcPr>
          <w:p>
            <w:pPr>
              <w:pStyle w:val="956"/>
              <w:ind w:left="0" w:right="0"/>
              <w:jc w:val="center"/>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55"/>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注：请填写此表，并按要求上传业绩资料电子件。</w:t>
      </w:r>
      <w:r/>
    </w:p>
    <w:p>
      <w:pPr>
        <w:pStyle w:val="957"/>
        <w:ind w:left="0" w:right="0"/>
        <w:spacing w:beforeAutospacing="0" w:afterAutospacing="0" w:line="44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br w:type="page" w:clear="all"/>
      </w:r>
      <w:bookmarkStart w:id="141" w:name="_Toc28140"/>
      <w:r>
        <w:rPr>
          <w:rFonts w:hint="eastAsia" w:ascii="宋体" w:hAnsi="宋体" w:eastAsia="宋体" w:cs="宋体"/>
          <w:color w:val="auto"/>
          <w:sz w:val="24"/>
          <w:szCs w:val="24"/>
          <w:highlight w:val="none"/>
        </w:rPr>
        <w:t xml:space="preserve">十一、项目实施方案</w:t>
      </w:r>
      <w:r/>
    </w:p>
    <w:p>
      <w:pPr>
        <w:pStyle w:val="957"/>
        <w:ind w:left="0" w:right="0"/>
        <w:spacing w:beforeAutospacing="0" w:afterAutospacing="0" w:line="440" w:lineRule="exact"/>
        <w:rPr>
          <w:rFonts w:hint="eastAsia" w:ascii="宋体" w:hAnsi="宋体" w:eastAsia="宋体" w:cs="宋体"/>
          <w:b w:val="0"/>
          <w:color w:val="auto"/>
          <w:sz w:val="24"/>
          <w:szCs w:val="24"/>
          <w:highlight w:val="none"/>
        </w:rPr>
        <w:outlineLvl w:val="1"/>
      </w:pPr>
      <w:r>
        <w:rPr>
          <w:rFonts w:hint="eastAsia" w:ascii="宋体" w:hAnsi="宋体" w:eastAsia="宋体" w:cs="宋体"/>
          <w:b w:val="0"/>
          <w:color w:val="auto"/>
          <w:sz w:val="24"/>
          <w:szCs w:val="24"/>
          <w:highlight w:val="none"/>
        </w:rPr>
        <w:t xml:space="preserve">根据评分办法自行编制</w:t>
      </w:r>
      <w:r/>
    </w:p>
    <w:p>
      <w:pPr>
        <w:pStyle w:val="95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5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5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5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5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5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5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5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5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5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5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5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5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5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5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5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5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5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5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5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5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5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5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5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5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5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5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5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57"/>
        <w:ind w:left="0" w:right="0"/>
        <w:spacing w:beforeAutospacing="0" w:afterAutospacing="0"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57"/>
        <w:ind w:left="0" w:right="0"/>
        <w:spacing w:beforeAutospacing="0" w:afterAutospacing="0" w:line="44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、投标所需其他材料</w:t>
      </w:r>
      <w:bookmarkEnd w:id="141"/>
      <w:r/>
      <w:r/>
    </w:p>
    <w:p>
      <w:pPr>
        <w:pStyle w:val="958"/>
        <w:ind w:left="0" w:right="0" w:firstLine="56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请在此文档中增加投标所需其他相关内容（包括资格要求、评分办法、采购需求中涉及的证件证明及其它投标人认为有必要提供的资料），如没有请将此空文档上传。</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End w:id="136"/>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3"/>
        <w:ind w:left="0" w:right="0" w:firstLine="0"/>
        <w:spacing w:beforeAutospacing="0" w:afterAutospacing="0" w:line="440" w:lineRule="exact"/>
        <w:rPr>
          <w:rFonts w:hint="eastAsia" w:ascii="宋体" w:hAnsi="宋体" w:eastAsia="宋体" w:cs="宋体"/>
          <w:color w:val="auto"/>
          <w:sz w:val="24"/>
          <w:szCs w:val="24"/>
          <w:highlight w:val="none"/>
        </w:rPr>
      </w:pPr>
      <w:r/>
      <w:bookmarkStart w:id="142" w:name="_Hlt26671374"/>
      <w:r/>
      <w:bookmarkEnd w:id="142"/>
      <w:r/>
      <w:bookmarkStart w:id="143" w:name="_Hlt26955066"/>
      <w:r/>
      <w:bookmarkEnd w:id="143"/>
      <w:r/>
      <w:bookmarkStart w:id="144" w:name="_Hlt26609389"/>
      <w:r/>
      <w:bookmarkEnd w:id="144"/>
      <w:r/>
      <w:bookmarkStart w:id="145" w:name="_Toc462564146"/>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3"/>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145"/>
      <w:r/>
      <w:r/>
    </w:p>
    <w:p>
      <w:pPr>
        <w:pStyle w:val="943"/>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3"/>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3"/>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3"/>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3"/>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jc w:val="center"/>
        <w:spacing w:beforeAutospacing="0" w:afterAutospacing="0" w:line="440" w:lineRule="exact"/>
        <w:rPr>
          <w:rFonts w:hint="eastAsia" w:ascii="宋体" w:hAnsi="宋体" w:eastAsia="宋体" w:cs="宋体"/>
          <w:b/>
          <w:bCs/>
          <w:color w:val="auto"/>
          <w:sz w:val="24"/>
          <w:szCs w:val="24"/>
          <w:highlight w:val="none"/>
        </w:rPr>
      </w:pPr>
      <w:r/>
      <w:bookmarkStart w:id="146" w:name="_格式2__法定代表人授权书"/>
      <w:r/>
      <w:bookmarkEnd w:id="146"/>
      <w:r>
        <w:rPr>
          <w:rFonts w:hint="eastAsia" w:ascii="宋体" w:hAnsi="宋体" w:eastAsia="宋体" w:cs="宋体"/>
          <w:b/>
          <w:color w:val="auto"/>
          <w:sz w:val="24"/>
          <w:szCs w:val="24"/>
          <w:highlight w:val="none"/>
        </w:rPr>
        <w:br w:type="page" w:clear="all"/>
      </w:r>
      <w:r>
        <w:rPr>
          <w:rFonts w:hint="eastAsia" w:ascii="宋体" w:hAnsi="宋体" w:eastAsia="宋体" w:cs="宋体"/>
          <w:b/>
          <w:bCs/>
          <w:color w:val="auto"/>
          <w:sz w:val="24"/>
          <w:szCs w:val="24"/>
          <w:highlight w:val="none"/>
        </w:rPr>
        <w:t xml:space="preserve">质疑函范本</w:t>
      </w:r>
      <w:r/>
    </w:p>
    <w:p>
      <w:pPr>
        <w:ind w:left="0" w:right="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一、质疑投标人基本信息</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质疑投标人：</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left="0" w:right="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ind w:left="0" w:right="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ind w:left="0" w:right="0"/>
        <w:spacing w:beforeAutospacing="0" w:afterAutospacing="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left="0" w:right="0" w:firstLine="480"/>
        <w:jc w:val="left"/>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1.投标人提出质疑时，应提交质疑函和必要的证明材料。</w:t>
      </w:r>
      <w:r/>
    </w:p>
    <w:p>
      <w:pPr>
        <w:ind w:left="0" w:right="0" w:firstLine="480"/>
        <w:jc w:val="left"/>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left="0" w:right="0" w:firstLine="480"/>
        <w:jc w:val="left"/>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3.质疑投标人若对项目的某一分包进行质疑，质疑函中应列明具体分包号。</w:t>
      </w:r>
      <w:r/>
    </w:p>
    <w:p>
      <w:pPr>
        <w:ind w:left="0" w:right="0" w:firstLine="480"/>
        <w:jc w:val="left"/>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left="0" w:right="0" w:firstLine="480"/>
        <w:jc w:val="left"/>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left="0" w:right="0" w:firstLine="480"/>
        <w:jc w:val="left"/>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933"/>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3"/>
        <w:ind w:left="0" w:right="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1"/>
        <w:ind w:left="0" w:right="0"/>
        <w:spacing w:before="0" w:beforeAutospacing="0" w:after="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Cambria Math">
    <w:panose1 w:val="02040503050406030204"/>
  </w:font>
  <w:font w:name="Wingdings">
    <w:panose1 w:val="05000000000000000000"/>
  </w:font>
  <w:font w:name="华文楷体">
    <w:panose1 w:val="02010600040101010101"/>
  </w:font>
  <w:font w:name="Courier New">
    <w:panose1 w:val="02070309020205020404"/>
  </w:font>
  <w:font w:name="幼圆">
    <w:panose1 w:val="02010509060101010101"/>
  </w:font>
  <w:font w:name="黑体">
    <w:panose1 w:val="02010609060101010101"/>
  </w:font>
  <w:font w:name="仿宋_GB2312">
    <w:panose1 w:val="02010609060101010101"/>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8"/>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7"/>
  </w:num>
  <w:num w:numId="4">
    <w:abstractNumId w:val="14"/>
  </w:num>
  <w:num w:numId="5">
    <w:abstractNumId w:val="12"/>
  </w:num>
  <w:num w:numId="6">
    <w:abstractNumId w:val="17"/>
  </w:num>
  <w:num w:numId="7">
    <w:abstractNumId w:val="5"/>
  </w:num>
  <w:num w:numId="8">
    <w:abstractNumId w:val="0"/>
  </w:num>
  <w:num w:numId="9">
    <w:abstractNumId w:val="2"/>
  </w:num>
  <w:num w:numId="10">
    <w:abstractNumId w:val="15"/>
  </w:num>
  <w:num w:numId="11">
    <w:abstractNumId w:val="4"/>
  </w:num>
  <w:num w:numId="12">
    <w:abstractNumId w:val="3"/>
  </w:num>
  <w:num w:numId="13">
    <w:abstractNumId w:val="10"/>
  </w:num>
  <w:num w:numId="14">
    <w:abstractNumId w:val="11"/>
  </w:num>
  <w:num w:numId="15">
    <w:abstractNumId w:val="18"/>
  </w:num>
  <w:num w:numId="16">
    <w:abstractNumId w:val="9"/>
  </w:num>
  <w:num w:numId="17">
    <w:abstractNumId w:val="1"/>
  </w:num>
  <w:num w:numId="18">
    <w:abstractNumId w:val="13"/>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link w:val="913"/>
    <w:uiPriority w:val="0"/>
    <w:qFormat/>
    <w:pPr>
      <w:jc w:val="both"/>
      <w:widowControl w:val="off"/>
    </w:pPr>
    <w:rPr>
      <w:rFonts w:hint="default" w:ascii="Calibri" w:hAnsi="Calibri" w:eastAsia="宋体" w:cs="Times New Roman"/>
      <w:sz w:val="21"/>
      <w:szCs w:val="24"/>
      <w:lang w:val="en-US" w:eastAsia="zh-CN" w:bidi="ar-SA"/>
    </w:rPr>
  </w:style>
  <w:style w:type="paragraph" w:styleId="717">
    <w:name w:val="Heading 1"/>
    <w:basedOn w:val="716"/>
    <w:next w:val="716"/>
    <w:link w:val="754"/>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link w:val="755"/>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756"/>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link w:val="757"/>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758"/>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link w:val="759"/>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760"/>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761"/>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762"/>
    <w:uiPriority w:val="9"/>
    <w:unhideWhenUsed/>
    <w:qFormat/>
    <w:pPr>
      <w:keepLines/>
      <w:keepNext/>
      <w:spacing w:before="320" w:after="200"/>
      <w:outlineLvl w:val="8"/>
    </w:pPr>
    <w:rPr>
      <w:rFonts w:ascii="Arial" w:hAnsi="Arial" w:eastAsia="Arial" w:cs="Arial"/>
      <w:i/>
      <w:iCs/>
      <w:sz w:val="21"/>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toc 7"/>
    <w:basedOn w:val="716"/>
    <w:next w:val="716"/>
    <w:uiPriority w:val="39"/>
    <w:unhideWhenUsed/>
    <w:qFormat/>
    <w:pPr>
      <w:ind w:left="1701" w:right="0" w:firstLine="0"/>
      <w:spacing w:after="57"/>
    </w:pPr>
  </w:style>
  <w:style w:type="paragraph" w:styleId="729">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0">
    <w:name w:val="Body Text"/>
    <w:basedOn w:val="716"/>
    <w:next w:val="716"/>
    <w:uiPriority w:val="0"/>
    <w:qFormat/>
    <w:rPr>
      <w:rFonts w:ascii="楷体_GB2312" w:hAnsi="Arial" w:eastAsia="楷体_GB2312"/>
      <w:sz w:val="28"/>
      <w:szCs w:val="28"/>
    </w:rPr>
  </w:style>
  <w:style w:type="paragraph" w:styleId="731">
    <w:name w:val="Body Text Indent"/>
    <w:basedOn w:val="716"/>
    <w:next w:val="732"/>
    <w:uiPriority w:val="0"/>
    <w:qFormat/>
    <w:pPr>
      <w:ind w:firstLine="225"/>
    </w:pPr>
    <w:rPr>
      <w:rFonts w:ascii="仿宋_GB2312" w:eastAsia="仿宋_GB2312"/>
      <w:sz w:val="32"/>
    </w:rPr>
  </w:style>
  <w:style w:type="paragraph" w:styleId="732">
    <w:name w:val="envelope return"/>
    <w:basedOn w:val="716"/>
    <w:uiPriority w:val="0"/>
    <w:qFormat/>
    <w:rPr>
      <w:rFonts w:ascii="Arial" w:hAnsi="Arial"/>
    </w:rPr>
  </w:style>
  <w:style w:type="paragraph" w:styleId="733">
    <w:name w:val="toc 5"/>
    <w:basedOn w:val="716"/>
    <w:next w:val="716"/>
    <w:uiPriority w:val="39"/>
    <w:unhideWhenUsed/>
    <w:qFormat/>
    <w:pPr>
      <w:ind w:left="1134" w:right="0" w:firstLine="0"/>
      <w:spacing w:after="57"/>
    </w:pPr>
  </w:style>
  <w:style w:type="paragraph" w:styleId="734">
    <w:name w:val="toc 3"/>
    <w:basedOn w:val="716"/>
    <w:next w:val="716"/>
    <w:uiPriority w:val="39"/>
    <w:unhideWhenUsed/>
    <w:qFormat/>
    <w:pPr>
      <w:ind w:left="567" w:right="0" w:firstLine="0"/>
      <w:spacing w:after="57"/>
    </w:pPr>
  </w:style>
  <w:style w:type="paragraph" w:styleId="735">
    <w:name w:val="Plain Text"/>
    <w:basedOn w:val="716"/>
    <w:uiPriority w:val="0"/>
    <w:qFormat/>
    <w:rPr>
      <w:rFonts w:ascii="宋体" w:hAnsi="Courier New" w:cs="Courier New"/>
    </w:rPr>
  </w:style>
  <w:style w:type="paragraph" w:styleId="736">
    <w:name w:val="toc 8"/>
    <w:basedOn w:val="716"/>
    <w:next w:val="716"/>
    <w:uiPriority w:val="39"/>
    <w:unhideWhenUsed/>
    <w:qFormat/>
    <w:pPr>
      <w:ind w:left="1984" w:right="0" w:firstLine="0"/>
      <w:spacing w:after="57"/>
    </w:pPr>
  </w:style>
  <w:style w:type="paragraph" w:styleId="737">
    <w:name w:val="endnote text"/>
    <w:basedOn w:val="716"/>
    <w:link w:val="900"/>
    <w:uiPriority w:val="99"/>
    <w:semiHidden/>
    <w:unhideWhenUsed/>
    <w:qFormat/>
    <w:pPr>
      <w:spacing w:after="0" w:line="240" w:lineRule="auto"/>
    </w:pPr>
    <w:rPr>
      <w:sz w:val="20"/>
    </w:rPr>
  </w:style>
  <w:style w:type="paragraph" w:styleId="738">
    <w:name w:val="Footer"/>
    <w:basedOn w:val="716"/>
    <w:link w:val="773"/>
    <w:uiPriority w:val="99"/>
    <w:unhideWhenUsed/>
    <w:qFormat/>
    <w:pPr>
      <w:spacing w:after="0" w:line="240" w:lineRule="auto"/>
      <w:tabs>
        <w:tab w:val="center" w:pos="7143" w:leader="none"/>
        <w:tab w:val="right" w:pos="14287" w:leader="none"/>
      </w:tabs>
    </w:pPr>
  </w:style>
  <w:style w:type="paragraph" w:styleId="739">
    <w:name w:val="Header"/>
    <w:basedOn w:val="716"/>
    <w:link w:val="771"/>
    <w:uiPriority w:val="99"/>
    <w:unhideWhenUsed/>
    <w:qFormat/>
    <w:pPr>
      <w:spacing w:after="0" w:line="240" w:lineRule="auto"/>
      <w:tabs>
        <w:tab w:val="center" w:pos="7143" w:leader="none"/>
        <w:tab w:val="right" w:pos="14287" w:leader="none"/>
      </w:tabs>
    </w:pPr>
  </w:style>
  <w:style w:type="paragraph" w:styleId="740">
    <w:name w:val="toc 1"/>
    <w:basedOn w:val="716"/>
    <w:next w:val="716"/>
    <w:uiPriority w:val="39"/>
    <w:unhideWhenUsed/>
    <w:qFormat/>
    <w:pPr>
      <w:ind w:left="0" w:right="0" w:firstLine="0"/>
      <w:spacing w:after="57"/>
    </w:pPr>
  </w:style>
  <w:style w:type="paragraph" w:styleId="741">
    <w:name w:val="toc 4"/>
    <w:basedOn w:val="716"/>
    <w:next w:val="716"/>
    <w:uiPriority w:val="39"/>
    <w:unhideWhenUsed/>
    <w:qFormat/>
    <w:pPr>
      <w:ind w:left="850" w:right="0" w:firstLine="0"/>
      <w:spacing w:after="57"/>
    </w:pPr>
  </w:style>
  <w:style w:type="paragraph" w:styleId="742">
    <w:name w:val="Subtitle"/>
    <w:basedOn w:val="716"/>
    <w:next w:val="716"/>
    <w:link w:val="766"/>
    <w:uiPriority w:val="11"/>
    <w:qFormat/>
    <w:pPr>
      <w:spacing w:before="200" w:after="200"/>
    </w:pPr>
    <w:rPr>
      <w:sz w:val="24"/>
      <w:szCs w:val="24"/>
    </w:rPr>
  </w:style>
  <w:style w:type="paragraph" w:styleId="743">
    <w:name w:val="footnote text"/>
    <w:basedOn w:val="716"/>
    <w:link w:val="899"/>
    <w:uiPriority w:val="99"/>
    <w:semiHidden/>
    <w:unhideWhenUsed/>
    <w:qFormat/>
    <w:pPr>
      <w:spacing w:after="40" w:line="240" w:lineRule="auto"/>
    </w:pPr>
    <w:rPr>
      <w:sz w:val="18"/>
    </w:rPr>
  </w:style>
  <w:style w:type="paragraph" w:styleId="744">
    <w:name w:val="toc 6"/>
    <w:basedOn w:val="716"/>
    <w:next w:val="716"/>
    <w:uiPriority w:val="39"/>
    <w:unhideWhenUsed/>
    <w:qFormat/>
    <w:pPr>
      <w:ind w:left="1417" w:right="0" w:firstLine="0"/>
      <w:spacing w:after="57"/>
    </w:pPr>
  </w:style>
  <w:style w:type="paragraph" w:styleId="745">
    <w:name w:val="table of figures"/>
    <w:basedOn w:val="716"/>
    <w:next w:val="716"/>
    <w:uiPriority w:val="99"/>
    <w:unhideWhenUsed/>
    <w:qFormat/>
    <w:pPr>
      <w:spacing w:after="0" w:afterAutospacing="0"/>
    </w:pPr>
  </w:style>
  <w:style w:type="paragraph" w:styleId="746">
    <w:name w:val="toc 2"/>
    <w:basedOn w:val="716"/>
    <w:next w:val="716"/>
    <w:uiPriority w:val="39"/>
    <w:unhideWhenUsed/>
    <w:qFormat/>
    <w:pPr>
      <w:ind w:left="283" w:right="0" w:firstLine="0"/>
      <w:spacing w:after="57"/>
    </w:pPr>
  </w:style>
  <w:style w:type="paragraph" w:styleId="747">
    <w:name w:val="toc 9"/>
    <w:basedOn w:val="716"/>
    <w:next w:val="716"/>
    <w:uiPriority w:val="39"/>
    <w:unhideWhenUsed/>
    <w:qFormat/>
    <w:pPr>
      <w:ind w:left="2268" w:right="0" w:firstLine="0"/>
      <w:spacing w:after="57"/>
    </w:pPr>
  </w:style>
  <w:style w:type="paragraph" w:styleId="748">
    <w:name w:val="Title"/>
    <w:basedOn w:val="716"/>
    <w:next w:val="716"/>
    <w:link w:val="765"/>
    <w:uiPriority w:val="10"/>
    <w:qFormat/>
    <w:pPr>
      <w:contextualSpacing/>
      <w:spacing w:before="300" w:after="200"/>
    </w:pPr>
    <w:rPr>
      <w:sz w:val="48"/>
      <w:szCs w:val="48"/>
    </w:rPr>
  </w:style>
  <w:style w:type="table" w:styleId="74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endnote reference"/>
    <w:uiPriority w:val="99"/>
    <w:semiHidden/>
    <w:unhideWhenUsed/>
    <w:qFormat/>
    <w:rPr>
      <w:vertAlign w:val="superscript"/>
    </w:rPr>
  </w:style>
  <w:style w:type="character" w:styleId="751">
    <w:name w:val="Hyperlink"/>
    <w:basedOn w:val="726"/>
    <w:uiPriority w:val="99"/>
    <w:unhideWhenUsed/>
    <w:qFormat/>
    <w:rPr>
      <w:color w:val="0000ff" w:themeColor="hyperlink"/>
      <w:u w:val="single"/>
      <w14:textFill>
        <w14:solidFill>
          <w14:schemeClr w14:val="hlink"/>
        </w14:solidFill>
      </w14:textFill>
    </w:rPr>
  </w:style>
  <w:style w:type="character" w:styleId="752">
    <w:name w:val="footnote reference"/>
    <w:uiPriority w:val="99"/>
    <w:unhideWhenUsed/>
    <w:qFormat/>
    <w:rPr>
      <w:vertAlign w:val="superscript"/>
    </w:rPr>
  </w:style>
  <w:style w:type="paragraph" w:styleId="753" w:customStyle="1">
    <w:name w:val="标题二、"/>
    <w:basedOn w:val="716"/>
    <w:uiPriority w:val="99"/>
    <w:qFormat/>
    <w:pPr>
      <w:ind w:firstLine="200"/>
      <w:spacing w:line="360" w:lineRule="auto"/>
      <w:outlineLvl w:val="2"/>
    </w:pPr>
    <w:rPr>
      <w:rFonts w:ascii="宋体" w:hAnsi="宋体"/>
      <w:b/>
      <w:szCs w:val="21"/>
    </w:rPr>
  </w:style>
  <w:style w:type="character" w:styleId="754" w:customStyle="1">
    <w:name w:val="Heading 1 Char"/>
    <w:link w:val="717"/>
    <w:uiPriority w:val="9"/>
    <w:qFormat/>
    <w:rPr>
      <w:rFonts w:ascii="Arial" w:hAnsi="Arial" w:eastAsia="Arial" w:cs="Arial"/>
      <w:sz w:val="40"/>
      <w:szCs w:val="40"/>
    </w:rPr>
  </w:style>
  <w:style w:type="character" w:styleId="755" w:customStyle="1">
    <w:name w:val="Heading 2 Char"/>
    <w:link w:val="718"/>
    <w:uiPriority w:val="9"/>
    <w:qFormat/>
    <w:rPr>
      <w:rFonts w:ascii="Arial" w:hAnsi="Arial" w:eastAsia="Arial" w:cs="Arial"/>
      <w:sz w:val="34"/>
    </w:rPr>
  </w:style>
  <w:style w:type="character" w:styleId="756" w:customStyle="1">
    <w:name w:val="Heading 3 Char"/>
    <w:link w:val="719"/>
    <w:uiPriority w:val="9"/>
    <w:qFormat/>
    <w:rPr>
      <w:rFonts w:ascii="Arial" w:hAnsi="Arial" w:eastAsia="Arial" w:cs="Arial"/>
      <w:sz w:val="30"/>
      <w:szCs w:val="30"/>
    </w:rPr>
  </w:style>
  <w:style w:type="character" w:styleId="757" w:customStyle="1">
    <w:name w:val="Heading 4 Char"/>
    <w:link w:val="720"/>
    <w:uiPriority w:val="9"/>
    <w:qFormat/>
    <w:rPr>
      <w:rFonts w:ascii="Arial" w:hAnsi="Arial" w:eastAsia="Arial" w:cs="Arial"/>
      <w:b/>
      <w:bCs/>
      <w:sz w:val="26"/>
      <w:szCs w:val="26"/>
    </w:rPr>
  </w:style>
  <w:style w:type="character" w:styleId="758" w:customStyle="1">
    <w:name w:val="Heading 5 Char"/>
    <w:link w:val="721"/>
    <w:uiPriority w:val="9"/>
    <w:qFormat/>
    <w:rPr>
      <w:rFonts w:ascii="Arial" w:hAnsi="Arial" w:eastAsia="Arial" w:cs="Arial"/>
      <w:b/>
      <w:bCs/>
      <w:sz w:val="24"/>
      <w:szCs w:val="24"/>
    </w:rPr>
  </w:style>
  <w:style w:type="character" w:styleId="759" w:customStyle="1">
    <w:name w:val="Heading 6 Char"/>
    <w:link w:val="722"/>
    <w:uiPriority w:val="9"/>
    <w:qFormat/>
    <w:rPr>
      <w:rFonts w:ascii="Arial" w:hAnsi="Arial" w:eastAsia="Arial" w:cs="Arial"/>
      <w:b/>
      <w:bCs/>
      <w:sz w:val="22"/>
      <w:szCs w:val="22"/>
    </w:rPr>
  </w:style>
  <w:style w:type="character" w:styleId="760" w:customStyle="1">
    <w:name w:val="Heading 7 Char"/>
    <w:link w:val="723"/>
    <w:uiPriority w:val="9"/>
    <w:qFormat/>
    <w:rPr>
      <w:rFonts w:ascii="Arial" w:hAnsi="Arial" w:eastAsia="Arial" w:cs="Arial"/>
      <w:b/>
      <w:bCs/>
      <w:i/>
      <w:iCs/>
      <w:sz w:val="22"/>
      <w:szCs w:val="22"/>
    </w:rPr>
  </w:style>
  <w:style w:type="character" w:styleId="761" w:customStyle="1">
    <w:name w:val="Heading 8 Char"/>
    <w:link w:val="724"/>
    <w:uiPriority w:val="9"/>
    <w:qFormat/>
    <w:rPr>
      <w:rFonts w:ascii="Arial" w:hAnsi="Arial" w:eastAsia="Arial" w:cs="Arial"/>
      <w:i/>
      <w:iCs/>
      <w:sz w:val="22"/>
      <w:szCs w:val="22"/>
    </w:rPr>
  </w:style>
  <w:style w:type="character" w:styleId="762" w:customStyle="1">
    <w:name w:val="Heading 9 Char"/>
    <w:link w:val="725"/>
    <w:uiPriority w:val="9"/>
    <w:qFormat/>
    <w:rPr>
      <w:rFonts w:ascii="Arial" w:hAnsi="Arial" w:eastAsia="Arial" w:cs="Arial"/>
      <w:i/>
      <w:iCs/>
      <w:sz w:val="21"/>
      <w:szCs w:val="21"/>
    </w:rPr>
  </w:style>
  <w:style w:type="paragraph" w:styleId="763">
    <w:name w:val="List Paragraph"/>
    <w:basedOn w:val="716"/>
    <w:uiPriority w:val="34"/>
    <w:qFormat/>
    <w:pPr>
      <w:contextualSpacing/>
      <w:ind w:left="720"/>
    </w:pPr>
  </w:style>
  <w:style w:type="paragraph" w:styleId="764">
    <w:name w:val="No Spacing"/>
    <w:uiPriority w:val="1"/>
    <w:qFormat/>
    <w:pPr>
      <w:spacing w:before="0" w:after="0" w:line="240" w:lineRule="auto"/>
    </w:pPr>
    <w:rPr>
      <w:rFonts w:hint="default" w:ascii="Times New Roman" w:hAnsi="Times New Roman" w:eastAsia="宋体" w:cs="Times New Roman"/>
    </w:rPr>
  </w:style>
  <w:style w:type="character" w:styleId="765" w:customStyle="1">
    <w:name w:val="Title Char"/>
    <w:link w:val="748"/>
    <w:uiPriority w:val="10"/>
    <w:qFormat/>
    <w:rPr>
      <w:sz w:val="48"/>
      <w:szCs w:val="48"/>
    </w:rPr>
  </w:style>
  <w:style w:type="character" w:styleId="766" w:customStyle="1">
    <w:name w:val="Subtitle Char"/>
    <w:link w:val="742"/>
    <w:uiPriority w:val="11"/>
    <w:qFormat/>
    <w:rPr>
      <w:sz w:val="24"/>
      <w:szCs w:val="24"/>
    </w:rPr>
  </w:style>
  <w:style w:type="paragraph" w:styleId="767">
    <w:name w:val="Quote"/>
    <w:basedOn w:val="716"/>
    <w:next w:val="716"/>
    <w:link w:val="768"/>
    <w:uiPriority w:val="29"/>
    <w:qFormat/>
    <w:pPr>
      <w:ind w:left="720" w:right="720"/>
    </w:pPr>
    <w:rPr>
      <w:i/>
    </w:rPr>
  </w:style>
  <w:style w:type="character" w:styleId="768" w:customStyle="1">
    <w:name w:val="Quote Char"/>
    <w:link w:val="767"/>
    <w:uiPriority w:val="29"/>
    <w:qFormat/>
    <w:rPr>
      <w:i/>
    </w:rPr>
  </w:style>
  <w:style w:type="paragraph" w:styleId="769">
    <w:name w:val="Intense Quote"/>
    <w:basedOn w:val="716"/>
    <w:next w:val="716"/>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customStyle="1">
    <w:name w:val="Intense Quote Char"/>
    <w:link w:val="769"/>
    <w:uiPriority w:val="30"/>
    <w:qFormat/>
    <w:rPr>
      <w:i/>
    </w:rPr>
  </w:style>
  <w:style w:type="character" w:styleId="771" w:customStyle="1">
    <w:name w:val="Header Char"/>
    <w:link w:val="739"/>
    <w:uiPriority w:val="99"/>
    <w:qFormat/>
  </w:style>
  <w:style w:type="character" w:styleId="772" w:customStyle="1">
    <w:name w:val="Footer Char"/>
    <w:link w:val="738"/>
    <w:uiPriority w:val="99"/>
    <w:qFormat/>
  </w:style>
  <w:style w:type="character" w:styleId="773" w:customStyle="1">
    <w:name w:val="Caption Char"/>
    <w:link w:val="738"/>
    <w:uiPriority w:val="99"/>
    <w:qFormat/>
  </w:style>
  <w:style w:type="table" w:styleId="77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9" w:customStyle="1">
    <w:name w:val="Footnote Text Char"/>
    <w:link w:val="743"/>
    <w:uiPriority w:val="99"/>
    <w:qFormat/>
    <w:rPr>
      <w:sz w:val="18"/>
    </w:rPr>
  </w:style>
  <w:style w:type="character" w:styleId="900" w:customStyle="1">
    <w:name w:val="Endnote Text Char"/>
    <w:link w:val="737"/>
    <w:uiPriority w:val="99"/>
    <w:qFormat/>
    <w:rPr>
      <w:sz w:val="20"/>
    </w:rPr>
  </w:style>
  <w:style w:type="paragraph" w:styleId="901" w:customStyle="1">
    <w:name w:val="TOC Heading"/>
    <w:uiPriority w:val="39"/>
    <w:unhideWhenUsed/>
    <w:qFormat/>
    <w:rPr>
      <w:rFonts w:hint="default" w:ascii="Times New Roman" w:hAnsi="Times New Roman" w:eastAsia="宋体" w:cs="Times New Roman"/>
    </w:rPr>
  </w:style>
  <w:style w:type="paragraph" w:styleId="902" w:customStyle="1">
    <w:name w:val="标题 31"/>
    <w:basedOn w:val="716"/>
    <w:next w:val="716"/>
    <w:uiPriority w:val="0"/>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903" w:customStyle="1">
    <w:name w:val="默认段落字体1"/>
    <w:link w:val="716"/>
    <w:uiPriority w:val="0"/>
    <w:semiHidden/>
    <w:qFormat/>
  </w:style>
  <w:style w:type="table" w:styleId="904" w:customStyle="1">
    <w:name w:val="普通表格1"/>
    <w:uiPriority w:val="0"/>
    <w:semiHidden/>
    <w:qFormat/>
    <w:tblPr/>
  </w:style>
  <w:style w:type="paragraph" w:styleId="905" w:customStyle="1">
    <w:name w:val="正文文本1"/>
    <w:basedOn w:val="716"/>
    <w:next w:val="716"/>
    <w:uiPriority w:val="99"/>
    <w:unhideWhenUsed/>
    <w:qFormat/>
    <w:pPr>
      <w:spacing w:after="120"/>
    </w:pPr>
  </w:style>
  <w:style w:type="paragraph" w:styleId="906" w:customStyle="1">
    <w:name w:val="批注文字1"/>
    <w:basedOn w:val="716"/>
    <w:uiPriority w:val="0"/>
    <w:qFormat/>
    <w:pPr>
      <w:jc w:val="left"/>
    </w:pPr>
  </w:style>
  <w:style w:type="paragraph" w:styleId="907" w:customStyle="1">
    <w:name w:val="页脚1"/>
    <w:basedOn w:val="716"/>
    <w:link w:val="908"/>
    <w:uiPriority w:val="0"/>
    <w:qFormat/>
    <w:pPr>
      <w:jc w:val="left"/>
      <w:tabs>
        <w:tab w:val="center" w:pos="4153" w:leader="none"/>
        <w:tab w:val="right" w:pos="8306" w:leader="none"/>
      </w:tabs>
    </w:pPr>
    <w:rPr>
      <w:sz w:val="18"/>
      <w:szCs w:val="18"/>
    </w:rPr>
  </w:style>
  <w:style w:type="character" w:styleId="908" w:customStyle="1">
    <w:name w:val="页脚 字符"/>
    <w:link w:val="907"/>
    <w:uiPriority w:val="0"/>
    <w:qFormat/>
    <w:rPr>
      <w:rFonts w:ascii="Calibri" w:hAnsi="Calibri"/>
      <w:sz w:val="18"/>
      <w:szCs w:val="18"/>
    </w:rPr>
  </w:style>
  <w:style w:type="paragraph" w:styleId="909" w:customStyle="1">
    <w:name w:val="页眉1"/>
    <w:basedOn w:val="716"/>
    <w:link w:val="910"/>
    <w:uiPriority w:val="0"/>
    <w:qFormat/>
    <w:pPr>
      <w:jc w:val="center"/>
      <w:tabs>
        <w:tab w:val="center" w:pos="4153" w:leader="none"/>
        <w:tab w:val="right" w:pos="8306" w:leader="none"/>
      </w:tabs>
      <w:pBdr>
        <w:bottom w:val="single" w:color="000000" w:sz="6" w:space="1"/>
      </w:pBdr>
    </w:pPr>
    <w:rPr>
      <w:sz w:val="18"/>
      <w:szCs w:val="18"/>
    </w:rPr>
  </w:style>
  <w:style w:type="character" w:styleId="910" w:customStyle="1">
    <w:name w:val="页眉 字符"/>
    <w:link w:val="909"/>
    <w:uiPriority w:val="0"/>
    <w:qFormat/>
    <w:rPr>
      <w:rFonts w:ascii="Calibri" w:hAnsi="Calibri"/>
      <w:sz w:val="18"/>
      <w:szCs w:val="18"/>
    </w:rPr>
  </w:style>
  <w:style w:type="paragraph" w:styleId="911" w:customStyle="1">
    <w:name w:val="普通(网站)1"/>
    <w:basedOn w:val="716"/>
    <w:uiPriority w:val="0"/>
    <w:qFormat/>
    <w:pPr>
      <w:ind w:left="0" w:right="0"/>
      <w:jc w:val="left"/>
      <w:spacing w:before="100" w:beforeAutospacing="1" w:after="100" w:afterAutospacing="1"/>
    </w:pPr>
    <w:rPr>
      <w:sz w:val="24"/>
      <w:lang w:val="en-US" w:eastAsia="zh-CN" w:bidi="ar"/>
    </w:rPr>
  </w:style>
  <w:style w:type="table" w:styleId="912" w:customStyle="1">
    <w:name w:val="网格型1"/>
    <w:basedOn w:val="904"/>
    <w:uiPriority w:val="0"/>
    <w:qFormat/>
    <w:tblPr/>
  </w:style>
  <w:style w:type="character" w:styleId="913" w:customStyle="1">
    <w:name w:val="超链接1"/>
    <w:link w:val="716"/>
    <w:uiPriority w:val="0"/>
    <w:qFormat/>
    <w:rPr>
      <w:color w:val="0000ff"/>
      <w:u w:val="single"/>
    </w:rPr>
  </w:style>
  <w:style w:type="paragraph" w:styleId="914"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915"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916" w:customStyle="1">
    <w:name w:val="标题 3_0"/>
    <w:basedOn w:val="917"/>
    <w:next w:val="917"/>
    <w:uiPriority w:val="0"/>
    <w:qFormat/>
    <w:pPr>
      <w:keepLines/>
      <w:keepNext/>
      <w:spacing w:before="260" w:after="260" w:line="413" w:lineRule="auto"/>
      <w:outlineLvl w:val="2"/>
    </w:pPr>
    <w:rPr>
      <w:rFonts w:ascii="Calibri" w:hAnsi="Calibri" w:eastAsia="Times New Roman"/>
      <w:b/>
      <w:sz w:val="32"/>
    </w:rPr>
  </w:style>
  <w:style w:type="paragraph" w:styleId="917" w:customStyle="1">
    <w:name w:val="正文_3_0_1"/>
    <w:uiPriority w:val="0"/>
    <w:qFormat/>
    <w:pPr>
      <w:jc w:val="both"/>
      <w:widowControl w:val="off"/>
    </w:pPr>
    <w:rPr>
      <w:rFonts w:hint="default" w:ascii="Times New Roman" w:hAnsi="Times New Roman" w:eastAsia="宋体" w:cs="Times New Roman"/>
      <w:lang w:val="en-US" w:eastAsia="zh-CN" w:bidi="ar-SA"/>
    </w:rPr>
  </w:style>
  <w:style w:type="paragraph" w:styleId="918" w:customStyle="1">
    <w:name w:val="标题 4_0"/>
    <w:basedOn w:val="919"/>
    <w:next w:val="919"/>
    <w:uiPriority w:val="9"/>
    <w:unhideWhenUsed/>
    <w:qFormat/>
    <w:pPr>
      <w:keepLines/>
      <w:keepNext/>
      <w:spacing w:before="280" w:after="290" w:line="372" w:lineRule="auto"/>
      <w:outlineLvl w:val="3"/>
    </w:pPr>
    <w:rPr>
      <w:rFonts w:ascii="Arial" w:hAnsi="Arial" w:eastAsia="黑体"/>
      <w:b/>
      <w:sz w:val="28"/>
      <w:szCs w:val="20"/>
    </w:rPr>
  </w:style>
  <w:style w:type="paragraph" w:styleId="919" w:customStyle="1">
    <w:name w:val="Normal1"/>
    <w:uiPriority w:val="0"/>
    <w:qFormat/>
    <w:pPr>
      <w:jc w:val="both"/>
      <w:widowControl w:val="off"/>
    </w:pPr>
    <w:rPr>
      <w:rFonts w:hint="default" w:ascii="Calibri" w:hAnsi="Calibri" w:eastAsia="宋体" w:cs="Times New Roman"/>
      <w:lang w:val="en-US" w:eastAsia="zh-CN" w:bidi="ar-SA"/>
    </w:rPr>
  </w:style>
  <w:style w:type="paragraph" w:styleId="920" w:customStyle="1">
    <w:name w:val="标题 5_0"/>
    <w:basedOn w:val="919"/>
    <w:next w:val="919"/>
    <w:uiPriority w:val="9"/>
    <w:unhideWhenUsed/>
    <w:qFormat/>
    <w:pPr>
      <w:keepLines/>
      <w:keepNext/>
      <w:spacing w:before="280" w:after="290" w:line="374" w:lineRule="auto"/>
      <w:outlineLvl w:val="4"/>
    </w:pPr>
    <w:rPr>
      <w:rFonts w:eastAsia="Times New Roman"/>
      <w:b/>
      <w:bCs/>
      <w:sz w:val="28"/>
      <w:szCs w:val="28"/>
    </w:rPr>
  </w:style>
  <w:style w:type="paragraph" w:styleId="921" w:customStyle="1">
    <w:name w:val="Normal_20_0_0"/>
    <w:next w:val="922"/>
    <w:uiPriority w:val="0"/>
    <w:qFormat/>
    <w:pPr>
      <w:jc w:val="both"/>
      <w:widowControl w:val="off"/>
    </w:pPr>
    <w:rPr>
      <w:rFonts w:hint="default" w:ascii="Calibri" w:hAnsi="Calibri" w:eastAsia="宋体" w:cs="Times New Roman"/>
      <w:sz w:val="21"/>
      <w:szCs w:val="22"/>
      <w:lang w:val="en-US" w:eastAsia="zh-CN" w:bidi="ar-SA"/>
    </w:rPr>
  </w:style>
  <w:style w:type="paragraph" w:styleId="922" w:customStyle="1">
    <w:name w:val="Heading 1_0_0"/>
    <w:basedOn w:val="921"/>
    <w:next w:val="921"/>
    <w:uiPriority w:val="0"/>
    <w:qFormat/>
    <w:pPr>
      <w:keepLines/>
      <w:keepNext/>
      <w:spacing w:before="340" w:after="330" w:line="576" w:lineRule="auto"/>
      <w:outlineLvl w:val="0"/>
    </w:pPr>
    <w:rPr>
      <w:rFonts w:ascii="Times New Roman" w:hAnsi="Times New Roman"/>
      <w:b/>
      <w:sz w:val="44"/>
      <w:szCs w:val="20"/>
    </w:rPr>
  </w:style>
  <w:style w:type="paragraph" w:styleId="923" w:customStyle="1">
    <w:name w:val="正文_2_0"/>
    <w:basedOn w:val="924"/>
    <w:next w:val="924"/>
    <w:uiPriority w:val="0"/>
    <w:qFormat/>
    <w:pPr>
      <w:jc w:val="both"/>
      <w:widowControl w:val="off"/>
    </w:pPr>
    <w:rPr>
      <w:rFonts w:hint="default" w:ascii="Calibri" w:hAnsi="Calibri" w:eastAsia="宋体" w:cs="Times New Roman"/>
      <w:lang w:val="en-US" w:eastAsia="zh-CN" w:bidi="ar-SA"/>
    </w:rPr>
  </w:style>
  <w:style w:type="paragraph" w:styleId="924" w:customStyle="1">
    <w:name w:val="Normal_0_2"/>
    <w:uiPriority w:val="0"/>
    <w:qFormat/>
    <w:pPr>
      <w:jc w:val="both"/>
      <w:widowControl w:val="off"/>
    </w:pPr>
    <w:rPr>
      <w:rFonts w:hint="default" w:ascii="Calibri" w:hAnsi="Calibri" w:eastAsia="宋体" w:cs="Calibri"/>
      <w:sz w:val="21"/>
      <w:szCs w:val="21"/>
      <w:lang w:val="en-US" w:eastAsia="zh-CN" w:bidi="ar-SA"/>
    </w:rPr>
  </w:style>
  <w:style w:type="paragraph" w:styleId="925" w:customStyle="1">
    <w:name w:val="正文_2"/>
    <w:uiPriority w:val="0"/>
    <w:qFormat/>
    <w:pPr>
      <w:jc w:val="both"/>
      <w:widowControl w:val="off"/>
    </w:pPr>
    <w:rPr>
      <w:rFonts w:hint="default" w:ascii="Calibri" w:hAnsi="Calibri" w:eastAsia="宋体" w:cs="Times New Roman"/>
      <w:sz w:val="21"/>
      <w:szCs w:val="22"/>
    </w:rPr>
  </w:style>
  <w:style w:type="paragraph" w:styleId="926" w:customStyle="1">
    <w:name w:val="标题 1_0"/>
    <w:basedOn w:val="927"/>
    <w:next w:val="927"/>
    <w:uiPriority w:val="0"/>
    <w:qFormat/>
    <w:pPr>
      <w:keepLines/>
      <w:keepNext/>
      <w:spacing w:before="340" w:after="330" w:line="576" w:lineRule="auto"/>
      <w:outlineLvl w:val="0"/>
    </w:pPr>
    <w:rPr>
      <w:rFonts w:ascii="Calibri" w:hAnsi="Calibri"/>
      <w:b/>
      <w:sz w:val="44"/>
      <w:szCs w:val="20"/>
    </w:rPr>
  </w:style>
  <w:style w:type="paragraph" w:styleId="927" w:customStyle="1">
    <w:name w:val="正文_0_1"/>
    <w:uiPriority w:val="0"/>
    <w:qFormat/>
    <w:pPr>
      <w:jc w:val="both"/>
      <w:widowControl w:val="off"/>
    </w:pPr>
    <w:rPr>
      <w:rFonts w:hint="default" w:ascii="Times New Roman" w:hAnsi="Times New Roman" w:eastAsia="宋体" w:cs="Times New Roman"/>
      <w:sz w:val="21"/>
      <w:szCs w:val="24"/>
    </w:rPr>
  </w:style>
  <w:style w:type="paragraph" w:styleId="928" w:customStyle="1">
    <w:name w:val="标题 2_0"/>
    <w:basedOn w:val="925"/>
    <w:next w:val="925"/>
    <w:uiPriority w:val="0"/>
    <w:qFormat/>
    <w:pPr>
      <w:keepLines/>
      <w:keepNext/>
      <w:spacing w:before="260" w:after="260" w:line="413" w:lineRule="auto"/>
      <w:outlineLvl w:val="1"/>
    </w:pPr>
    <w:rPr>
      <w:rFonts w:ascii="Arial" w:hAnsi="Arial" w:eastAsia="黑体"/>
      <w:b/>
      <w:sz w:val="32"/>
      <w:szCs w:val="20"/>
    </w:rPr>
  </w:style>
  <w:style w:type="paragraph" w:styleId="929" w:customStyle="1">
    <w:name w:val="正文_16"/>
    <w:next w:val="930"/>
    <w:uiPriority w:val="0"/>
    <w:qFormat/>
    <w:pPr>
      <w:jc w:val="both"/>
      <w:widowControl w:val="off"/>
    </w:pPr>
    <w:rPr>
      <w:rFonts w:hint="default" w:ascii="Calibri" w:hAnsi="Calibri" w:eastAsia="宋体" w:cs="Times New Roman"/>
      <w:sz w:val="21"/>
      <w:szCs w:val="22"/>
    </w:rPr>
  </w:style>
  <w:style w:type="paragraph" w:styleId="930" w:customStyle="1">
    <w:name w:val="正文首行缩进 2_0"/>
    <w:basedOn w:val="931"/>
    <w:uiPriority w:val="0"/>
    <w:qFormat/>
    <w:pPr>
      <w:ind w:left="200" w:firstLine="200"/>
      <w:spacing w:after="120"/>
    </w:pPr>
    <w:rPr>
      <w:rFonts w:ascii="Times New Roman" w:hAnsi="Times New Roman"/>
      <w:sz w:val="24"/>
      <w:szCs w:val="24"/>
    </w:rPr>
  </w:style>
  <w:style w:type="paragraph" w:styleId="931" w:customStyle="1">
    <w:name w:val="正文文本缩进_0"/>
    <w:basedOn w:val="925"/>
    <w:uiPriority w:val="0"/>
    <w:qFormat/>
    <w:pPr>
      <w:ind w:firstLine="225"/>
    </w:pPr>
    <w:rPr>
      <w:rFonts w:ascii="仿宋_GB2312" w:eastAsia="仿宋_GB2312"/>
      <w:sz w:val="32"/>
    </w:rPr>
  </w:style>
  <w:style w:type="paragraph" w:styleId="932" w:customStyle="1">
    <w:name w:val="标题 41"/>
    <w:basedOn w:val="716"/>
    <w:next w:val="933"/>
    <w:uiPriority w:val="0"/>
    <w:qFormat/>
    <w:pPr>
      <w:keepLines/>
      <w:keepNext/>
      <w:spacing w:before="280" w:after="290" w:line="376" w:lineRule="auto"/>
      <w:outlineLvl w:val="3"/>
    </w:pPr>
    <w:rPr>
      <w:rFonts w:ascii="Arial" w:hAnsi="Arial" w:eastAsia="黑体" w:cs="Arial"/>
      <w:b/>
      <w:bCs/>
      <w:sz w:val="28"/>
      <w:szCs w:val="28"/>
    </w:rPr>
  </w:style>
  <w:style w:type="paragraph" w:styleId="933" w:customStyle="1">
    <w:name w:val="正文缩进1"/>
    <w:basedOn w:val="716"/>
    <w:next w:val="716"/>
    <w:uiPriority w:val="0"/>
    <w:qFormat/>
    <w:pPr>
      <w:ind w:firstLine="420"/>
    </w:pPr>
  </w:style>
  <w:style w:type="paragraph" w:styleId="934" w:customStyle="1">
    <w:name w:val="正文_2_1_0"/>
    <w:uiPriority w:val="0"/>
    <w:qFormat/>
    <w:pPr>
      <w:jc w:val="both"/>
      <w:widowControl w:val="off"/>
    </w:pPr>
    <w:rPr>
      <w:rFonts w:hint="default" w:ascii="Calibri" w:hAnsi="Calibri" w:eastAsia="宋体" w:cs="Times New Roman"/>
      <w:lang w:val="en-US" w:eastAsia="zh-CN" w:bidi="ar-SA"/>
    </w:rPr>
  </w:style>
  <w:style w:type="paragraph" w:styleId="935" w:customStyle="1">
    <w:name w:val="Normal_19"/>
    <w:basedOn w:val="923"/>
    <w:uiPriority w:val="0"/>
    <w:qFormat/>
    <w:rPr>
      <w:rFonts w:eastAsia="宋体"/>
    </w:rPr>
  </w:style>
  <w:style w:type="paragraph" w:styleId="936" w:customStyle="1">
    <w:name w:val="无间隔1_0_0"/>
    <w:basedOn w:val="935"/>
    <w:uiPriority w:val="0"/>
    <w:qFormat/>
    <w:pPr>
      <w:spacing w:line="400" w:lineRule="exact"/>
    </w:pPr>
    <w:rPr>
      <w:rFonts w:ascii="Times New Roman" w:hAnsi="Times New Roman" w:eastAsia="Times New Roman" w:cs="Times New Roman"/>
      <w:color w:val="000000"/>
      <w:sz w:val="24"/>
      <w:szCs w:val="24"/>
    </w:rPr>
  </w:style>
  <w:style w:type="paragraph" w:styleId="93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38" w:customStyle="1">
    <w:name w:val="列出段落1"/>
    <w:basedOn w:val="716"/>
    <w:uiPriority w:val="0"/>
    <w:qFormat/>
    <w:pPr>
      <w:contextualSpacing/>
      <w:ind w:left="720"/>
      <w:jc w:val="left"/>
      <w:widowControl/>
    </w:pPr>
    <w:rPr>
      <w:rFonts w:ascii="Calibri" w:hAnsi="Calibri" w:eastAsia="宋体" w:cs="Times New Roman"/>
      <w:sz w:val="24"/>
      <w:szCs w:val="24"/>
      <w:lang w:eastAsia="en-US" w:bidi="en-US"/>
    </w:rPr>
  </w:style>
  <w:style w:type="paragraph" w:styleId="939" w:customStyle="1">
    <w:name w:val="正文文本11"/>
    <w:basedOn w:val="716"/>
    <w:next w:val="933"/>
    <w:uiPriority w:val="0"/>
    <w:qFormat/>
    <w:rPr>
      <w:rFonts w:ascii="楷体_GB2312" w:hAnsi="Arial" w:eastAsia="楷体_GB2312"/>
      <w:sz w:val="28"/>
      <w:szCs w:val="28"/>
    </w:rPr>
  </w:style>
  <w:style w:type="paragraph" w:styleId="940" w:customStyle="1">
    <w:name w:val="目录 11"/>
    <w:basedOn w:val="716"/>
    <w:next w:val="716"/>
    <w:uiPriority w:val="0"/>
    <w:semiHidden/>
    <w:qFormat/>
    <w:pPr>
      <w:jc w:val="left"/>
      <w:spacing w:before="120" w:after="120" w:line="400" w:lineRule="exact"/>
      <w:tabs>
        <w:tab w:val="right" w:pos="8720" w:leader="dot"/>
      </w:tabs>
    </w:pPr>
    <w:rPr>
      <w:rFonts w:ascii="宋体" w:hAnsi="宋体"/>
      <w:caps/>
      <w:sz w:val="24"/>
      <w:szCs w:val="24"/>
    </w:rPr>
  </w:style>
  <w:style w:type="paragraph" w:styleId="941"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42"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43" w:customStyle="1">
    <w:name w:val="正文空2字"/>
    <w:basedOn w:val="944"/>
    <w:uiPriority w:val="99"/>
    <w:qFormat/>
    <w:pPr>
      <w:ind w:firstLine="640"/>
      <w:spacing w:line="560" w:lineRule="exact"/>
      <w:widowControl w:val="off"/>
    </w:pPr>
    <w:rPr>
      <w:rFonts w:ascii="仿宋_GB2312" w:hAnsi="仿宋_GB2312" w:cs="仿宋_GB2312"/>
      <w:lang w:val="zh-TW"/>
    </w:rPr>
  </w:style>
  <w:style w:type="paragraph" w:styleId="944" w:customStyle="1">
    <w:name w:val="左对齐正文"/>
    <w:uiPriority w:val="99"/>
    <w:qFormat/>
    <w:rPr>
      <w:rFonts w:hint="default" w:ascii="Calibri" w:hAnsi="Calibri" w:eastAsia="仿宋_GB2312" w:cs="Calibri"/>
      <w:sz w:val="32"/>
      <w:szCs w:val="32"/>
      <w:lang w:val="en-US" w:eastAsia="zh-CN" w:bidi="ar-SA"/>
    </w:rPr>
  </w:style>
  <w:style w:type="paragraph" w:styleId="945" w:customStyle="1">
    <w:name w:val="Char1"/>
    <w:basedOn w:val="716"/>
    <w:uiPriority w:val="0"/>
    <w:qFormat/>
    <w:pPr>
      <w:ind w:firstLine="200"/>
      <w:tabs>
        <w:tab w:val="left" w:pos="360" w:leader="none"/>
      </w:tabs>
    </w:pPr>
    <w:rPr>
      <w:sz w:val="28"/>
      <w:szCs w:val="30"/>
    </w:rPr>
  </w:style>
  <w:style w:type="paragraph" w:styleId="946" w:customStyle="1">
    <w:name w:val="普通正文"/>
    <w:basedOn w:val="716"/>
    <w:uiPriority w:val="0"/>
    <w:qFormat/>
    <w:pPr>
      <w:ind w:firstLine="480"/>
      <w:jc w:val="left"/>
      <w:spacing w:before="120" w:after="120" w:line="360" w:lineRule="auto"/>
    </w:pPr>
    <w:rPr>
      <w:rFonts w:ascii="Arial" w:hAnsi="Arial"/>
      <w:sz w:val="24"/>
      <w:szCs w:val="24"/>
    </w:rPr>
  </w:style>
  <w:style w:type="paragraph" w:styleId="947" w:customStyle="1">
    <w:name w:val="标题 21"/>
    <w:basedOn w:val="716"/>
    <w:next w:val="71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8"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949"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950"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951" w:customStyle="1">
    <w:name w:val="正文文本12"/>
    <w:basedOn w:val="716"/>
    <w:uiPriority w:val="1"/>
    <w:qFormat/>
    <w:pPr>
      <w:ind w:left="120"/>
    </w:pPr>
    <w:rPr>
      <w:rFonts w:ascii="宋体" w:hAnsi="宋体" w:cs="宋体"/>
      <w:lang w:val="zh-CN" w:bidi="zh-CN"/>
    </w:rPr>
  </w:style>
  <w:style w:type="paragraph" w:styleId="952" w:customStyle="1">
    <w:name w:val="Normal_18_0"/>
    <w:uiPriority w:val="0"/>
    <w:qFormat/>
    <w:rPr>
      <w:rFonts w:hint="default" w:ascii="黑体" w:hAnsi="黑体" w:eastAsia="黑体" w:cs="黑体"/>
      <w:b/>
      <w:sz w:val="32"/>
      <w:szCs w:val="24"/>
      <w:lang w:val="en-US" w:eastAsia="zh-CN" w:bidi="ar-SA"/>
    </w:rPr>
  </w:style>
  <w:style w:type="paragraph" w:styleId="953" w:customStyle="1">
    <w:name w:val="正文_12_0_0_0_0"/>
    <w:basedOn w:val="716"/>
    <w:uiPriority w:val="0"/>
    <w:qFormat/>
    <w:rPr>
      <w:szCs w:val="24"/>
    </w:rPr>
  </w:style>
  <w:style w:type="paragraph" w:styleId="95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5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7" w:customStyle="1">
    <w:name w:val="Normal_20"/>
    <w:uiPriority w:val="0"/>
    <w:qFormat/>
    <w:rPr>
      <w:rFonts w:hint="default" w:ascii="黑体" w:hAnsi="黑体" w:eastAsia="黑体" w:cs="黑体"/>
      <w:b/>
      <w:sz w:val="32"/>
      <w:szCs w:val="24"/>
      <w:lang w:val="en-US" w:eastAsia="zh-CN" w:bidi="ar-SA"/>
    </w:rPr>
  </w:style>
  <w:style w:type="paragraph" w:styleId="95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character" w:styleId="959" w:customStyle="1">
    <w:name w:val="页码1"/>
    <w:uiPriority w:val="0"/>
    <w:qFormat/>
  </w:style>
  <w:style w:type="paragraph" w:styleId="960" w:customStyle="1">
    <w:name w:val="WPSOffice手动目录 1"/>
    <w:uiPriority w:val="0"/>
    <w:qFormat/>
    <w:rPr>
      <w:rFonts w:hint="default" w:ascii="Times New Roman" w:hAnsi="Times New Roman" w:eastAsia="宋体" w:cs="Times New Roman"/>
      <w:sz w:val="20"/>
      <w:szCs w:val="20"/>
    </w:rPr>
  </w:style>
  <w:style w:type="character" w:styleId="961" w:customStyle="1">
    <w:name w:val="font11"/>
    <w:basedOn w:val="726"/>
    <w:uiPriority w:val="0"/>
    <w:qFormat/>
    <w:rPr>
      <w:rFonts w:hint="eastAsia" w:ascii="宋体" w:hAnsi="宋体" w:eastAsia="宋体" w:cs="宋体"/>
      <w:color w:val="000000"/>
      <w:sz w:val="24"/>
      <w:szCs w:val="24"/>
      <w:u w:val="none"/>
    </w:rPr>
  </w:style>
  <w:style w:type="character" w:styleId="962" w:customStyle="1">
    <w:name w:val="font101"/>
    <w:basedOn w:val="726"/>
    <w:uiPriority w:val="0"/>
    <w:qFormat/>
    <w:rPr>
      <w:rFonts w:ascii="Cambria Math" w:hAnsi="Cambria Math" w:eastAsia="Cambria Math" w:cs="Cambria Math"/>
      <w:color w:val="000000"/>
      <w:sz w:val="24"/>
      <w:szCs w:val="24"/>
      <w:u w:val="none"/>
    </w:rPr>
  </w:style>
  <w:style w:type="character" w:styleId="963" w:customStyle="1">
    <w:name w:val="font41"/>
    <w:basedOn w:val="726"/>
    <w:uiPriority w:val="0"/>
    <w:qFormat/>
    <w:rPr>
      <w:rFonts w:hint="eastAsia" w:ascii="宋体" w:hAnsi="宋体" w:eastAsia="宋体" w:cs="宋体"/>
      <w:color w:val="000000"/>
      <w:sz w:val="24"/>
      <w:szCs w:val="24"/>
      <w:u w:val="none"/>
    </w:rPr>
  </w:style>
  <w:style w:type="character" w:styleId="964" w:customStyle="1">
    <w:name w:val="font112"/>
    <w:basedOn w:val="726"/>
    <w:uiPriority w:val="0"/>
    <w:qFormat/>
    <w:rPr>
      <w:rFonts w:ascii="Calibri" w:hAnsi="Calibri" w:cs="Calibri"/>
      <w:color w:val="000000"/>
      <w:sz w:val="24"/>
      <w:szCs w:val="24"/>
      <w:u w:val="none"/>
    </w:rPr>
  </w:style>
  <w:style w:type="character" w:styleId="965" w:customStyle="1">
    <w:name w:val="font61"/>
    <w:basedOn w:val="726"/>
    <w:uiPriority w:val="0"/>
    <w:qFormat/>
    <w:rPr>
      <w:rFonts w:hint="default" w:ascii="Calibri" w:hAnsi="Calibri" w:cs="Calibri"/>
      <w:color w:val="000000"/>
      <w:sz w:val="20"/>
      <w:szCs w:val="20"/>
      <w:u w:val="none"/>
    </w:rPr>
  </w:style>
  <w:style w:type="character" w:styleId="966" w:customStyle="1">
    <w:name w:val="font31"/>
    <w:basedOn w:val="726"/>
    <w:uiPriority w:val="0"/>
    <w:qFormat/>
    <w:rPr>
      <w:rFonts w:hint="eastAsia" w:ascii="宋体" w:hAnsi="宋体" w:eastAsia="宋体" w:cs="宋体"/>
      <w:color w:val="000000"/>
      <w:sz w:val="20"/>
      <w:szCs w:val="20"/>
      <w:u w:val="none"/>
    </w:rPr>
  </w:style>
  <w:style w:type="paragraph" w:styleId="967" w:customStyle="1">
    <w:name w:val="标题 211"/>
    <w:basedOn w:val="716"/>
    <w:next w:val="968"/>
    <w:uiPriority w:val="0"/>
    <w:qFormat/>
    <w:pPr>
      <w:keepLines/>
      <w:keepNext/>
      <w:spacing w:before="260" w:after="260" w:line="413" w:lineRule="auto"/>
      <w:outlineLvl w:val="1"/>
    </w:pPr>
    <w:rPr>
      <w:rFonts w:ascii="Arial" w:hAnsi="Arial" w:eastAsia="黑体"/>
      <w:b/>
      <w:sz w:val="32"/>
      <w:szCs w:val="20"/>
    </w:rPr>
  </w:style>
  <w:style w:type="paragraph" w:styleId="968" w:customStyle="1">
    <w:name w:val="正文缩进11"/>
    <w:basedOn w:val="716"/>
    <w:uiPriority w:val="0"/>
    <w:qFormat/>
    <w:pPr>
      <w:ind w:firstLine="420"/>
    </w:pPr>
    <w:rPr>
      <w:rFonts w:ascii="宋体"/>
      <w:color w:val="000000"/>
      <w:sz w:val="24"/>
      <w:szCs w:val="20"/>
    </w:rPr>
  </w:style>
  <w:style w:type="paragraph" w:styleId="969" w:customStyle="1">
    <w:name w:val="纯文本1"/>
    <w:basedOn w:val="929"/>
    <w:uiPriority w:val="0"/>
    <w:qFormat/>
    <w:rPr>
      <w:rFonts w:ascii="宋体" w:hAnsi="Courier New" w:cs="Courier New"/>
    </w:rPr>
  </w:style>
  <w:style w:type="character" w:styleId="970" w:customStyle="1">
    <w:name w:val="font21"/>
    <w:basedOn w:val="726"/>
    <w:uiPriority w:val="0"/>
    <w:qFormat/>
    <w:rPr>
      <w:rFonts w:hint="eastAsia" w:ascii="宋体" w:hAnsi="宋体" w:eastAsia="宋体" w:cs="宋体"/>
      <w:b/>
      <w:bCs/>
      <w:color w:val="000000"/>
      <w:sz w:val="22"/>
      <w:szCs w:val="22"/>
      <w:u w:val="none"/>
    </w:rPr>
  </w:style>
  <w:style w:type="character" w:styleId="971" w:customStyle="1">
    <w:name w:val="font51"/>
    <w:basedOn w:val="726"/>
    <w:uiPriority w:val="0"/>
    <w:qFormat/>
    <w:rPr>
      <w:rFonts w:hint="eastAsia" w:ascii="宋体" w:hAnsi="宋体" w:eastAsia="宋体" w:cs="宋体"/>
      <w:color w:val="ff0000"/>
      <w:sz w:val="22"/>
      <w:szCs w:val="22"/>
      <w:u w:val="none"/>
    </w:rPr>
  </w:style>
  <w:style w:type="character" w:styleId="972" w:customStyle="1">
    <w:name w:val="font111"/>
    <w:basedOn w:val="726"/>
    <w:uiPriority w:val="0"/>
    <w:qFormat/>
    <w:rPr>
      <w:rFonts w:hint="default" w:ascii="Arial" w:hAnsi="Arial" w:cs="Arial"/>
      <w:color w:val="ff0000"/>
      <w:sz w:val="22"/>
      <w:szCs w:val="22"/>
      <w:u w:val="none"/>
    </w:rPr>
  </w:style>
  <w:style w:type="character" w:styleId="973" w:customStyle="1">
    <w:name w:val="font122"/>
    <w:basedOn w:val="726"/>
    <w:uiPriority w:val="0"/>
    <w:qFormat/>
    <w:rPr>
      <w:rFonts w:ascii="宋体" w:hAnsi="宋体" w:eastAsia="宋体" w:cs="宋体"/>
      <w:color w:val="000000"/>
      <w:sz w:val="22"/>
      <w:szCs w:val="22"/>
      <w:u w:val="none"/>
    </w:rPr>
  </w:style>
  <w:style w:type="character" w:styleId="974" w:customStyle="1">
    <w:name w:val="font71"/>
    <w:basedOn w:val="726"/>
    <w:uiPriority w:val="0"/>
    <w:qFormat/>
    <w:rPr>
      <w:rFonts w:ascii="宋体" w:hAnsi="宋体" w:eastAsia="宋体" w:cs="宋体"/>
      <w:color w:val="000000"/>
      <w:sz w:val="22"/>
      <w:szCs w:val="22"/>
      <w:u w:val="none"/>
    </w:rPr>
  </w:style>
  <w:style w:type="character" w:styleId="975" w:customStyle="1">
    <w:name w:val="font81"/>
    <w:basedOn w:val="726"/>
    <w:uiPriority w:val="0"/>
    <w:qFormat/>
    <w:rPr>
      <w:rFonts w:hint="eastAsia" w:ascii="宋体" w:hAnsi="宋体" w:eastAsia="宋体" w:cs="宋体"/>
      <w:color w:val="000000"/>
      <w:sz w:val="22"/>
      <w:szCs w:val="22"/>
      <w:u w:val="none"/>
    </w:rPr>
  </w:style>
  <w:style w:type="character" w:styleId="976" w:customStyle="1">
    <w:name w:val="font91"/>
    <w:basedOn w:val="726"/>
    <w:uiPriority w:val="0"/>
    <w:qFormat/>
    <w:rPr>
      <w:rFonts w:hint="eastAsia" w:ascii="宋体" w:hAnsi="宋体" w:eastAsia="宋体" w:cs="宋体"/>
      <w:b/>
      <w:bCs/>
      <w:color w:val="000000"/>
      <w:sz w:val="22"/>
      <w:szCs w:val="22"/>
      <w:u w:val="none"/>
    </w:rPr>
  </w:style>
  <w:style w:type="numbering" w:styleId="9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朱楠</cp:lastModifiedBy>
  <cp:revision>13</cp:revision>
  <dcterms:created xsi:type="dcterms:W3CDTF">2022-12-12T08:17:00Z</dcterms:created>
  <dcterms:modified xsi:type="dcterms:W3CDTF">2025-12-17T07:21:02Z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eyJoZGlkIjoiMDRiNWM4ZTRkMzMxZWMzM2IxMDc5NzU0Njk3ODNlNzAiLCJ1c2VySWQiOiIxMDE0MTU2NDc0In0=</vt:lpwstr>
  </property>
  <property fmtid="{D5CDD505-2E9C-101B-9397-08002B2CF9AE}" pid="3" name="KSOProductBuildVer">
    <vt:lpwstr>2052-12.1.0.22175</vt:lpwstr>
  </property>
  <property fmtid="{D5CDD505-2E9C-101B-9397-08002B2CF9AE}" pid="4" name="ICV">
    <vt:lpwstr>ECE1BD6C7D794706B4C6500F6E58C1F8_13</vt:lpwstr>
  </property>
</Properties>
</file>